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53D6D" w14:textId="77777777" w:rsidR="00061C21" w:rsidRDefault="00061C21" w:rsidP="00061C21">
      <w:pPr>
        <w:pStyle w:val="Titolo1"/>
        <w:spacing w:line="240" w:lineRule="auto"/>
        <w:jc w:val="center"/>
        <w:rPr>
          <w:color w:val="000000"/>
          <w:sz w:val="34"/>
          <w:szCs w:val="34"/>
        </w:rPr>
      </w:pPr>
      <w:r>
        <w:rPr>
          <w:color w:val="000000"/>
          <w:sz w:val="34"/>
          <w:szCs w:val="34"/>
        </w:rPr>
        <w:t>“DESIGN IN FIERA 2022”</w:t>
      </w:r>
    </w:p>
    <w:p w14:paraId="06423513" w14:textId="77777777" w:rsidR="00061C21" w:rsidRPr="00061C21" w:rsidRDefault="00061C21" w:rsidP="00061C21"/>
    <w:p w14:paraId="34FACF67" w14:textId="77777777" w:rsidR="00061C21" w:rsidRPr="00061C21" w:rsidRDefault="00061C21" w:rsidP="00061C21">
      <w:pPr>
        <w:jc w:val="center"/>
        <w:rPr>
          <w:b/>
        </w:rPr>
      </w:pPr>
      <w:r w:rsidRPr="00061C21">
        <w:rPr>
          <w:b/>
        </w:rPr>
        <w:t>BANDO PUBBLICO PER AZIENDE MANIFATTURIERE E PROFESSIONISTI DEL DESIGN</w:t>
      </w:r>
    </w:p>
    <w:p w14:paraId="14F3706C" w14:textId="77777777" w:rsidR="00061C21" w:rsidRDefault="00061C21" w:rsidP="00061C21">
      <w:pPr>
        <w:spacing w:after="0" w:line="240" w:lineRule="auto"/>
      </w:pPr>
    </w:p>
    <w:p w14:paraId="5A2C9615" w14:textId="77777777" w:rsidR="00061C21" w:rsidRDefault="00061C21" w:rsidP="00061C21">
      <w:pPr>
        <w:pStyle w:val="Titolo2"/>
        <w:spacing w:line="240" w:lineRule="auto"/>
        <w:jc w:val="left"/>
        <w:rPr>
          <w:color w:val="000000"/>
        </w:rPr>
      </w:pPr>
      <w:r>
        <w:rPr>
          <w:color w:val="000000"/>
        </w:rPr>
        <w:t>1 - Che cos’è Design in Fiera</w:t>
      </w:r>
    </w:p>
    <w:p w14:paraId="7B867BF7" w14:textId="77777777" w:rsidR="00061C21" w:rsidRDefault="00061C21" w:rsidP="00061C21">
      <w:pPr>
        <w:rPr>
          <w:sz w:val="20"/>
          <w:szCs w:val="20"/>
        </w:rPr>
      </w:pPr>
    </w:p>
    <w:p w14:paraId="714EB8D9" w14:textId="77777777" w:rsidR="00061C21" w:rsidRDefault="00061C21" w:rsidP="00061C21">
      <w:pPr>
        <w:spacing w:line="240" w:lineRule="auto"/>
      </w:pPr>
      <w:r>
        <w:t>È un'iniziativa lanciata da Unioncamere Puglia nell’ambito dell’85^ edizione della Fiera del Levante, che si svolgerà presso il quartiere fieristico da sabato 17 a domenica 25 settembre 2022. “Design in Fiera 2022” ha lo scopo di</w:t>
      </w:r>
      <w:r>
        <w:rPr>
          <w:b/>
        </w:rPr>
        <w:t xml:space="preserve"> supportare prodotti ad alto potenziale innovativo nel settore del design</w:t>
      </w:r>
      <w:r>
        <w:t>, accompagnandoli sia nella fase di commercializzazione che di ricerca partner. L’evento è infatti pensato come un’occasione sia per vendere al pubblico una serie di prodotti ad alto contenuto di design, sia anche come un luogo d’incontro fra chi offre queste competenze (i designer) e chi le cerca (aziende manifatturiere di vari settori).</w:t>
      </w:r>
    </w:p>
    <w:p w14:paraId="7416626D" w14:textId="77777777" w:rsidR="00061C21" w:rsidRDefault="00061C21" w:rsidP="00061C21">
      <w:pPr>
        <w:spacing w:line="240" w:lineRule="auto"/>
      </w:pPr>
      <w:r>
        <w:t>“Design in Fiera 2022” si compone di due iniziative distinte ma integrate in maniera modulare: Design to Business e ManiFuture.</w:t>
      </w:r>
    </w:p>
    <w:p w14:paraId="19CAEAB5" w14:textId="77777777" w:rsidR="00061C21" w:rsidRDefault="00061C21" w:rsidP="00061C21">
      <w:pPr>
        <w:spacing w:line="240" w:lineRule="auto"/>
        <w:rPr>
          <w:sz w:val="20"/>
          <w:szCs w:val="20"/>
        </w:rPr>
      </w:pPr>
    </w:p>
    <w:p w14:paraId="189AE604" w14:textId="77777777" w:rsidR="00061C21" w:rsidRDefault="00061C21" w:rsidP="00061C21">
      <w:pPr>
        <w:pStyle w:val="Titolo2"/>
        <w:jc w:val="left"/>
        <w:rPr>
          <w:color w:val="000000"/>
        </w:rPr>
      </w:pPr>
      <w:r>
        <w:rPr>
          <w:color w:val="000000"/>
        </w:rPr>
        <w:t xml:space="preserve">1a - L’evento per i designer: Design to Business </w:t>
      </w:r>
    </w:p>
    <w:p w14:paraId="0976ED24" w14:textId="77777777" w:rsidR="00061C21" w:rsidRDefault="00061C21" w:rsidP="00061C21">
      <w:pPr>
        <w:spacing w:line="240" w:lineRule="auto"/>
        <w:jc w:val="center"/>
      </w:pPr>
    </w:p>
    <w:p w14:paraId="32742EB5" w14:textId="77777777" w:rsidR="00061C21" w:rsidRDefault="00061C21" w:rsidP="00FC5A90">
      <w:pPr>
        <w:spacing w:line="240" w:lineRule="auto"/>
        <w:jc w:val="left"/>
      </w:pPr>
      <w:r>
        <w:rPr>
          <w:b/>
        </w:rPr>
        <w:t>Quando e dove:</w:t>
      </w:r>
      <w:r>
        <w:t xml:space="preserve"> Design to Business avrà luogo </w:t>
      </w:r>
      <w:r>
        <w:rPr>
          <w:u w:val="single"/>
        </w:rPr>
        <w:t>dal 19 al 23 settembre presso il Centro Congressi della Fiera del Levante.</w:t>
      </w:r>
      <w:r>
        <w:t xml:space="preserve">  </w:t>
      </w:r>
    </w:p>
    <w:p w14:paraId="2E30AB2C" w14:textId="77777777" w:rsidR="00061C21" w:rsidRDefault="00061C21" w:rsidP="00061C21">
      <w:pPr>
        <w:spacing w:line="240" w:lineRule="auto"/>
      </w:pPr>
      <w:r>
        <w:rPr>
          <w:b/>
        </w:rPr>
        <w:t>Cos'è:</w:t>
      </w:r>
      <w:r>
        <w:t xml:space="preserve"> </w:t>
      </w:r>
      <w:r>
        <w:rPr>
          <w:u w:val="single"/>
        </w:rPr>
        <w:t>una mostra di 25 oggetti di pregio realizzati da altrettanti designer.</w:t>
      </w:r>
      <w:r>
        <w:t xml:space="preserve"> Ogni designer avrà </w:t>
      </w:r>
      <w:r w:rsidRPr="00ED39CD">
        <w:t>la possibilità di esporre una propria opera, progetto o prototipo.</w:t>
      </w:r>
      <w:r>
        <w:t xml:space="preserve"> Sarà una piccola sezione dedicata, con un pannello recante le indicazioni di contatto ed una breve nota biografica. Queste 25 installazioni avranno l’obiettivo di presentare i designer, dare visibilità internazionale alle loro opere e promuovere accordi con potenziali investitori nazionali ed esteri. </w:t>
      </w:r>
    </w:p>
    <w:p w14:paraId="1C239386" w14:textId="77777777" w:rsidR="00061C21" w:rsidRDefault="00061C21" w:rsidP="00061C21">
      <w:pPr>
        <w:spacing w:line="240" w:lineRule="auto"/>
        <w:rPr>
          <w:u w:val="single"/>
        </w:rPr>
      </w:pPr>
      <w:r>
        <w:rPr>
          <w:b/>
        </w:rPr>
        <w:t xml:space="preserve">Quali manufatti possono essere esposti: </w:t>
      </w:r>
      <w:r>
        <w:rPr>
          <w:u w:val="single"/>
        </w:rPr>
        <w:t xml:space="preserve">oggetti di varia natura, purché dall’alto contenuto di design. A titolo indicativo: </w:t>
      </w:r>
    </w:p>
    <w:p w14:paraId="1BDF3BAC" w14:textId="77777777" w:rsidR="00061C21" w:rsidRDefault="00061C21" w:rsidP="00061C21">
      <w:pPr>
        <w:numPr>
          <w:ilvl w:val="0"/>
          <w:numId w:val="10"/>
        </w:numPr>
        <w:spacing w:after="0" w:line="240" w:lineRule="auto"/>
      </w:pPr>
      <w:r>
        <w:t>manufatti in legno, sughero, paglia e materiali da intreccio;</w:t>
      </w:r>
    </w:p>
    <w:p w14:paraId="5E00ED9B" w14:textId="77777777" w:rsidR="00061C21" w:rsidRDefault="00061C21" w:rsidP="00061C21">
      <w:pPr>
        <w:numPr>
          <w:ilvl w:val="0"/>
          <w:numId w:val="10"/>
        </w:numPr>
        <w:spacing w:after="0" w:line="240" w:lineRule="auto"/>
      </w:pPr>
      <w:r>
        <w:t>prodotti moda (abbigliamento, calzature, pelletteria, pellicceria, tessile casa);</w:t>
      </w:r>
    </w:p>
    <w:p w14:paraId="64A82F05" w14:textId="77777777" w:rsidR="00061C21" w:rsidRDefault="00061C21" w:rsidP="00061C21">
      <w:pPr>
        <w:numPr>
          <w:ilvl w:val="0"/>
          <w:numId w:val="10"/>
        </w:numPr>
        <w:spacing w:after="0" w:line="240" w:lineRule="auto"/>
      </w:pPr>
      <w:r>
        <w:t>prodotti della lavorazione di minerali non metalliferi (vetro, terracotta, porcellana, ceramica, cemento, calce e gesso);</w:t>
      </w:r>
    </w:p>
    <w:p w14:paraId="2320B93F" w14:textId="77777777" w:rsidR="00061C21" w:rsidRDefault="00061C21" w:rsidP="00061C21">
      <w:pPr>
        <w:numPr>
          <w:ilvl w:val="0"/>
          <w:numId w:val="10"/>
        </w:numPr>
        <w:spacing w:after="0" w:line="240" w:lineRule="auto"/>
      </w:pPr>
      <w:r>
        <w:t>prodotti della lavorazione dei metalli (inclusi prodotti per la casa, stoviglie, pentolame, utensili, serramenti, ecc);</w:t>
      </w:r>
    </w:p>
    <w:p w14:paraId="396F64FA" w14:textId="77777777" w:rsidR="00061C21" w:rsidRDefault="00061C21" w:rsidP="00061C21">
      <w:pPr>
        <w:numPr>
          <w:ilvl w:val="0"/>
          <w:numId w:val="10"/>
        </w:numPr>
        <w:spacing w:after="0" w:line="240" w:lineRule="auto"/>
      </w:pPr>
      <w:r>
        <w:t>macchine di varia natura;</w:t>
      </w:r>
    </w:p>
    <w:p w14:paraId="0181A26A" w14:textId="77777777" w:rsidR="00061C21" w:rsidRDefault="00061C21" w:rsidP="00061C21">
      <w:pPr>
        <w:numPr>
          <w:ilvl w:val="0"/>
          <w:numId w:val="10"/>
        </w:numPr>
        <w:spacing w:after="0" w:line="240" w:lineRule="auto"/>
      </w:pPr>
      <w:r>
        <w:t>mobili, materassi, divani;</w:t>
      </w:r>
    </w:p>
    <w:p w14:paraId="65407CF2" w14:textId="77777777" w:rsidR="00061C21" w:rsidRDefault="00061C21" w:rsidP="00061C21">
      <w:pPr>
        <w:numPr>
          <w:ilvl w:val="0"/>
          <w:numId w:val="10"/>
        </w:numPr>
        <w:spacing w:after="0" w:line="240" w:lineRule="auto"/>
      </w:pPr>
      <w:r>
        <w:t>prodotti per l’edilizia, la serramentistica e l’arredo di interni;</w:t>
      </w:r>
    </w:p>
    <w:p w14:paraId="760631D8" w14:textId="77777777" w:rsidR="00061C21" w:rsidRDefault="00061C21" w:rsidP="00061C21">
      <w:pPr>
        <w:numPr>
          <w:ilvl w:val="0"/>
          <w:numId w:val="10"/>
        </w:numPr>
        <w:spacing w:after="0" w:line="240" w:lineRule="auto"/>
      </w:pPr>
      <w:r>
        <w:t>oggetti di gioielleria, oreficeria e bigiotteria;</w:t>
      </w:r>
    </w:p>
    <w:p w14:paraId="66B32048" w14:textId="77777777" w:rsidR="00061C21" w:rsidRDefault="00061C21" w:rsidP="00061C21">
      <w:pPr>
        <w:numPr>
          <w:ilvl w:val="0"/>
          <w:numId w:val="10"/>
        </w:numPr>
        <w:spacing w:after="0" w:line="240" w:lineRule="auto"/>
      </w:pPr>
      <w:r>
        <w:t>strumenti musicali, giochi e giocattoli;</w:t>
      </w:r>
    </w:p>
    <w:p w14:paraId="00EA4AE5" w14:textId="77777777" w:rsidR="00061C21" w:rsidRDefault="00061C21" w:rsidP="00061C21">
      <w:pPr>
        <w:numPr>
          <w:ilvl w:val="0"/>
          <w:numId w:val="10"/>
        </w:numPr>
        <w:spacing w:line="240" w:lineRule="auto"/>
      </w:pPr>
      <w:r>
        <w:t>packaging.</w:t>
      </w:r>
    </w:p>
    <w:p w14:paraId="3747D369" w14:textId="77777777" w:rsidR="00061C21" w:rsidRDefault="00061C21" w:rsidP="00061C21">
      <w:pPr>
        <w:spacing w:line="240" w:lineRule="auto"/>
      </w:pPr>
    </w:p>
    <w:p w14:paraId="59864108" w14:textId="77777777" w:rsidR="00061C21" w:rsidRPr="00ED39CD" w:rsidRDefault="00061C21" w:rsidP="00061C21">
      <w:pPr>
        <w:spacing w:line="240" w:lineRule="auto"/>
        <w:rPr>
          <w:b/>
          <w:bCs/>
        </w:rPr>
      </w:pPr>
      <w:r w:rsidRPr="00ED39CD">
        <w:rPr>
          <w:b/>
          <w:bCs/>
        </w:rPr>
        <w:lastRenderedPageBreak/>
        <w:t>Chi può candidarsi</w:t>
      </w:r>
    </w:p>
    <w:p w14:paraId="0E79A5B4" w14:textId="77777777" w:rsidR="00061C21" w:rsidRDefault="00061C21" w:rsidP="00061C21">
      <w:pPr>
        <w:numPr>
          <w:ilvl w:val="0"/>
          <w:numId w:val="5"/>
        </w:numPr>
        <w:spacing w:line="240" w:lineRule="auto"/>
      </w:pPr>
      <w:r>
        <w:t>Imprese:</w:t>
      </w:r>
    </w:p>
    <w:p w14:paraId="6BD69D0A" w14:textId="77777777" w:rsidR="00061C21" w:rsidRDefault="00061C21" w:rsidP="00061C21">
      <w:pPr>
        <w:spacing w:line="240" w:lineRule="auto"/>
        <w:ind w:left="720"/>
      </w:pPr>
      <w:r>
        <w:t>aziende con sede d’impresa (o unità locale) radicata in territorio pugliese e aventi tra i propri codici di attività primaria o secondaria uno dei seguenti:</w:t>
      </w:r>
    </w:p>
    <w:p w14:paraId="235380BF" w14:textId="77777777" w:rsidR="00061C21" w:rsidRDefault="00061C21" w:rsidP="00061C21">
      <w:pPr>
        <w:numPr>
          <w:ilvl w:val="1"/>
          <w:numId w:val="5"/>
        </w:numPr>
        <w:spacing w:after="0" w:line="240" w:lineRule="auto"/>
      </w:pPr>
      <w:r>
        <w:t>74.1: Attività di design specializzate;</w:t>
      </w:r>
    </w:p>
    <w:p w14:paraId="557ED975" w14:textId="77777777" w:rsidR="00061C21" w:rsidRDefault="00061C21" w:rsidP="00061C21">
      <w:pPr>
        <w:numPr>
          <w:ilvl w:val="1"/>
          <w:numId w:val="5"/>
        </w:numPr>
        <w:spacing w:after="0" w:line="240" w:lineRule="auto"/>
      </w:pPr>
      <w:r>
        <w:t>74.10: Attività di design specializzate;</w:t>
      </w:r>
    </w:p>
    <w:p w14:paraId="7E692E93" w14:textId="77777777" w:rsidR="00061C21" w:rsidRDefault="00061C21" w:rsidP="00061C21">
      <w:pPr>
        <w:numPr>
          <w:ilvl w:val="1"/>
          <w:numId w:val="5"/>
        </w:numPr>
        <w:spacing w:after="0" w:line="240" w:lineRule="auto"/>
      </w:pPr>
      <w:r>
        <w:t>74.10.10: Attività di design di moda e di design industriale;</w:t>
      </w:r>
    </w:p>
    <w:p w14:paraId="242CABC6" w14:textId="77777777" w:rsidR="00061C21" w:rsidRDefault="00061C21" w:rsidP="00061C21">
      <w:pPr>
        <w:numPr>
          <w:ilvl w:val="1"/>
          <w:numId w:val="5"/>
        </w:numPr>
        <w:spacing w:after="0" w:line="240" w:lineRule="auto"/>
      </w:pPr>
      <w:r>
        <w:t>74.10.30: Attività dei disegnatori tecnici;</w:t>
      </w:r>
    </w:p>
    <w:p w14:paraId="60C693D5" w14:textId="77777777" w:rsidR="00061C21" w:rsidRDefault="00061C21" w:rsidP="00061C21">
      <w:pPr>
        <w:numPr>
          <w:ilvl w:val="1"/>
          <w:numId w:val="5"/>
        </w:numPr>
        <w:spacing w:line="240" w:lineRule="auto"/>
      </w:pPr>
      <w:r>
        <w:t>74.10.90: Altre attività di design;</w:t>
      </w:r>
    </w:p>
    <w:p w14:paraId="3D224877" w14:textId="77777777" w:rsidR="00061C21" w:rsidRDefault="00061C21" w:rsidP="00061C21">
      <w:pPr>
        <w:spacing w:line="240" w:lineRule="auto"/>
        <w:ind w:left="1440"/>
        <w:rPr>
          <w:sz w:val="20"/>
          <w:szCs w:val="20"/>
        </w:rPr>
      </w:pPr>
    </w:p>
    <w:p w14:paraId="6742E142" w14:textId="77777777" w:rsidR="00061C21" w:rsidRDefault="00061C21" w:rsidP="00061C21">
      <w:pPr>
        <w:numPr>
          <w:ilvl w:val="0"/>
          <w:numId w:val="5"/>
        </w:numPr>
        <w:pBdr>
          <w:top w:val="nil"/>
          <w:left w:val="nil"/>
          <w:bottom w:val="nil"/>
          <w:right w:val="nil"/>
          <w:between w:val="nil"/>
        </w:pBdr>
        <w:spacing w:line="240" w:lineRule="auto"/>
      </w:pPr>
      <w:r>
        <w:t>Designer:</w:t>
      </w:r>
    </w:p>
    <w:p w14:paraId="0BC88DA0" w14:textId="77777777" w:rsidR="00061C21" w:rsidRDefault="00061C21" w:rsidP="00061C21">
      <w:pPr>
        <w:pBdr>
          <w:top w:val="nil"/>
          <w:left w:val="nil"/>
          <w:bottom w:val="nil"/>
          <w:right w:val="nil"/>
          <w:between w:val="nil"/>
        </w:pBdr>
        <w:spacing w:line="240" w:lineRule="auto"/>
        <w:ind w:left="720"/>
      </w:pPr>
      <w:r>
        <w:t>professionisti con forti competenze di design industriale, residenti in Puglia:</w:t>
      </w:r>
    </w:p>
    <w:p w14:paraId="27EDF523" w14:textId="77777777" w:rsidR="00061C21" w:rsidRDefault="00061C21" w:rsidP="00061C21">
      <w:pPr>
        <w:numPr>
          <w:ilvl w:val="1"/>
          <w:numId w:val="5"/>
        </w:numPr>
        <w:pBdr>
          <w:top w:val="nil"/>
          <w:left w:val="nil"/>
          <w:bottom w:val="nil"/>
          <w:right w:val="nil"/>
          <w:between w:val="nil"/>
        </w:pBdr>
        <w:spacing w:after="0" w:line="240" w:lineRule="auto"/>
      </w:pPr>
      <w:r>
        <w:t>architetti;</w:t>
      </w:r>
    </w:p>
    <w:p w14:paraId="6EE21A87" w14:textId="77777777" w:rsidR="00061C21" w:rsidRDefault="00061C21" w:rsidP="00061C21">
      <w:pPr>
        <w:numPr>
          <w:ilvl w:val="1"/>
          <w:numId w:val="5"/>
        </w:numPr>
        <w:pBdr>
          <w:top w:val="nil"/>
          <w:left w:val="nil"/>
          <w:bottom w:val="nil"/>
          <w:right w:val="nil"/>
          <w:between w:val="nil"/>
        </w:pBdr>
        <w:spacing w:after="0" w:line="240" w:lineRule="auto"/>
      </w:pPr>
      <w:r>
        <w:t>ingegneri;</w:t>
      </w:r>
    </w:p>
    <w:p w14:paraId="73208C93" w14:textId="77777777" w:rsidR="00061C21" w:rsidRDefault="00061C21" w:rsidP="00061C21">
      <w:pPr>
        <w:numPr>
          <w:ilvl w:val="1"/>
          <w:numId w:val="5"/>
        </w:numPr>
        <w:pBdr>
          <w:top w:val="nil"/>
          <w:left w:val="nil"/>
          <w:bottom w:val="nil"/>
          <w:right w:val="nil"/>
          <w:between w:val="nil"/>
        </w:pBdr>
        <w:spacing w:after="0" w:line="240" w:lineRule="auto"/>
      </w:pPr>
      <w:r>
        <w:t>periti industriali;</w:t>
      </w:r>
    </w:p>
    <w:p w14:paraId="42BDD405" w14:textId="77777777" w:rsidR="00061C21" w:rsidRDefault="00061C21" w:rsidP="00061C21">
      <w:pPr>
        <w:numPr>
          <w:ilvl w:val="1"/>
          <w:numId w:val="5"/>
        </w:numPr>
        <w:pBdr>
          <w:top w:val="nil"/>
          <w:left w:val="nil"/>
          <w:bottom w:val="nil"/>
          <w:right w:val="nil"/>
          <w:between w:val="nil"/>
        </w:pBdr>
        <w:spacing w:after="0" w:line="240" w:lineRule="auto"/>
        <w:rPr>
          <w:highlight w:val="white"/>
        </w:rPr>
      </w:pPr>
      <w:r>
        <w:rPr>
          <w:highlight w:val="white"/>
        </w:rPr>
        <w:t>possessori del titolo di laurea triennale in disegno industriale;</w:t>
      </w:r>
    </w:p>
    <w:p w14:paraId="077B9DF5" w14:textId="77777777" w:rsidR="00061C21" w:rsidRDefault="00061C21" w:rsidP="00061C21">
      <w:pPr>
        <w:numPr>
          <w:ilvl w:val="1"/>
          <w:numId w:val="5"/>
        </w:numPr>
        <w:pBdr>
          <w:top w:val="nil"/>
          <w:left w:val="nil"/>
          <w:bottom w:val="nil"/>
          <w:right w:val="nil"/>
          <w:between w:val="nil"/>
        </w:pBdr>
        <w:spacing w:after="0" w:line="240" w:lineRule="auto"/>
        <w:rPr>
          <w:highlight w:val="white"/>
        </w:rPr>
      </w:pPr>
      <w:r>
        <w:rPr>
          <w:highlight w:val="white"/>
        </w:rPr>
        <w:t>possessori del titolo di laurea specialistica in disegno industriale;</w:t>
      </w:r>
    </w:p>
    <w:p w14:paraId="2C678730" w14:textId="77777777" w:rsidR="00061C21" w:rsidRDefault="00061C21" w:rsidP="00061C21">
      <w:pPr>
        <w:numPr>
          <w:ilvl w:val="1"/>
          <w:numId w:val="5"/>
        </w:numPr>
        <w:pBdr>
          <w:top w:val="nil"/>
          <w:left w:val="nil"/>
          <w:bottom w:val="nil"/>
          <w:right w:val="nil"/>
          <w:between w:val="nil"/>
        </w:pBdr>
        <w:spacing w:after="0" w:line="240" w:lineRule="auto"/>
        <w:rPr>
          <w:highlight w:val="white"/>
        </w:rPr>
      </w:pPr>
      <w:r>
        <w:rPr>
          <w:highlight w:val="white"/>
        </w:rPr>
        <w:t>possessori del titolo rilasciato dalle Accademie di Belle Arti;</w:t>
      </w:r>
    </w:p>
    <w:p w14:paraId="1ABA0558" w14:textId="77777777" w:rsidR="00061C21" w:rsidRDefault="00061C21" w:rsidP="00061C21">
      <w:pPr>
        <w:numPr>
          <w:ilvl w:val="1"/>
          <w:numId w:val="5"/>
        </w:numPr>
        <w:pBdr>
          <w:top w:val="nil"/>
          <w:left w:val="nil"/>
          <w:bottom w:val="nil"/>
          <w:right w:val="nil"/>
          <w:between w:val="nil"/>
        </w:pBdr>
        <w:spacing w:after="0" w:line="240" w:lineRule="auto"/>
        <w:rPr>
          <w:highlight w:val="white"/>
        </w:rPr>
      </w:pPr>
      <w:r>
        <w:rPr>
          <w:highlight w:val="white"/>
        </w:rPr>
        <w:t>possessori di titolo di diploma rilasciato da scuole private di design;</w:t>
      </w:r>
    </w:p>
    <w:p w14:paraId="6D6BD0B1" w14:textId="77777777" w:rsidR="00061C21" w:rsidRDefault="00061C21" w:rsidP="00061C21">
      <w:pPr>
        <w:numPr>
          <w:ilvl w:val="1"/>
          <w:numId w:val="5"/>
        </w:numPr>
        <w:pBdr>
          <w:top w:val="nil"/>
          <w:left w:val="nil"/>
          <w:bottom w:val="nil"/>
          <w:right w:val="nil"/>
          <w:between w:val="nil"/>
        </w:pBdr>
        <w:spacing w:after="0" w:line="240" w:lineRule="auto"/>
        <w:rPr>
          <w:highlight w:val="white"/>
        </w:rPr>
      </w:pPr>
      <w:r>
        <w:rPr>
          <w:highlight w:val="white"/>
        </w:rPr>
        <w:t>possessori del titolo di diploma rilasciato da Istituto d’arte;</w:t>
      </w:r>
    </w:p>
    <w:p w14:paraId="5C31FA54" w14:textId="77777777" w:rsidR="00061C21" w:rsidRDefault="00061C21" w:rsidP="00061C21">
      <w:pPr>
        <w:numPr>
          <w:ilvl w:val="1"/>
          <w:numId w:val="5"/>
        </w:numPr>
        <w:pBdr>
          <w:top w:val="nil"/>
          <w:left w:val="nil"/>
          <w:bottom w:val="nil"/>
          <w:right w:val="nil"/>
          <w:between w:val="nil"/>
        </w:pBdr>
        <w:spacing w:line="240" w:lineRule="auto"/>
        <w:rPr>
          <w:highlight w:val="white"/>
        </w:rPr>
      </w:pPr>
      <w:r>
        <w:rPr>
          <w:highlight w:val="white"/>
        </w:rPr>
        <w:t xml:space="preserve">chiunque possa comprovare, attraverso portfolio e curriculum, ampie esperienze di design. </w:t>
      </w:r>
    </w:p>
    <w:p w14:paraId="045D553E" w14:textId="77777777" w:rsidR="00061C21" w:rsidRPr="00FE70EB" w:rsidRDefault="00061C21" w:rsidP="00061C21">
      <w:pPr>
        <w:pBdr>
          <w:top w:val="nil"/>
          <w:left w:val="nil"/>
          <w:bottom w:val="nil"/>
          <w:right w:val="nil"/>
          <w:between w:val="nil"/>
        </w:pBdr>
        <w:spacing w:line="240" w:lineRule="auto"/>
      </w:pPr>
      <w:r>
        <w:rPr>
          <w:b/>
        </w:rPr>
        <w:t>L’evento di B2B tra chi offre e chi richiede competenze di design:</w:t>
      </w:r>
      <w:r>
        <w:t xml:space="preserve"> </w:t>
      </w:r>
      <w:r>
        <w:rPr>
          <w:u w:val="single"/>
        </w:rPr>
        <w:t xml:space="preserve">nella giornata del </w:t>
      </w:r>
      <w:r w:rsidRPr="00FE70EB">
        <w:rPr>
          <w:u w:val="single"/>
        </w:rPr>
        <w:t>23 settembre i designer potranno incontrare le aziende di produzione</w:t>
      </w:r>
      <w:r w:rsidRPr="00FE70EB">
        <w:t xml:space="preserve"> alla ricerca di talenti del design, per sviluppare business e collaborazioni. Si tratta di un incontro fra </w:t>
      </w:r>
      <w:r w:rsidRPr="00FE70EB">
        <w:rPr>
          <w:i/>
        </w:rPr>
        <w:t>chi vende e chi compra</w:t>
      </w:r>
      <w:r w:rsidRPr="00FE70EB">
        <w:t xml:space="preserve"> servizi di design, con incontri d’affari che verranno definiti nel dettaglio e comunicati. Un programma di incontri e i tavoli per gli appuntamenti faciliteranno il match tra designer e imprenditori.</w:t>
      </w:r>
    </w:p>
    <w:p w14:paraId="0B9BCE25" w14:textId="77777777" w:rsidR="00061C21" w:rsidRDefault="00061C21" w:rsidP="00061C21">
      <w:pPr>
        <w:pBdr>
          <w:top w:val="nil"/>
          <w:left w:val="nil"/>
          <w:bottom w:val="nil"/>
          <w:right w:val="nil"/>
          <w:between w:val="nil"/>
        </w:pBdr>
        <w:spacing w:line="240" w:lineRule="auto"/>
      </w:pPr>
      <w:r w:rsidRPr="00FE70EB">
        <w:rPr>
          <w:b/>
        </w:rPr>
        <w:t>Quanto costa partecipare all’evento B2B del 23 settembre:</w:t>
      </w:r>
      <w:r w:rsidRPr="00FE70EB">
        <w:t xml:space="preserve"> </w:t>
      </w:r>
      <w:r w:rsidRPr="00FE70EB">
        <w:rPr>
          <w:u w:val="single"/>
        </w:rPr>
        <w:t>zero. L’evento è gratuito.</w:t>
      </w:r>
      <w:r w:rsidRPr="00FE70EB">
        <w:t xml:space="preserve"> I</w:t>
      </w:r>
      <w:r>
        <w:t xml:space="preserve"> designer e le imprese saranno selezionati da apposite Commissioni, sulla base di requisiti di seguito indicati.</w:t>
      </w:r>
    </w:p>
    <w:p w14:paraId="734011C4" w14:textId="77777777" w:rsidR="00061C21" w:rsidRDefault="00061C21" w:rsidP="00061C21">
      <w:pPr>
        <w:pBdr>
          <w:top w:val="nil"/>
          <w:left w:val="nil"/>
          <w:bottom w:val="nil"/>
          <w:right w:val="nil"/>
          <w:between w:val="nil"/>
        </w:pBdr>
        <w:spacing w:line="240" w:lineRule="auto"/>
      </w:pPr>
    </w:p>
    <w:p w14:paraId="7BF69279" w14:textId="77777777" w:rsidR="00061C21" w:rsidRDefault="00061C21" w:rsidP="00061C21">
      <w:pPr>
        <w:spacing w:line="240" w:lineRule="auto"/>
        <w:jc w:val="center"/>
      </w:pPr>
      <w:r>
        <w:rPr>
          <w:b/>
        </w:rPr>
        <w:t>Design to Business è organizzato da:</w:t>
      </w:r>
      <w:r>
        <w:t xml:space="preserve"> </w:t>
      </w:r>
    </w:p>
    <w:p w14:paraId="3D5E18FA" w14:textId="77777777" w:rsidR="00061C21" w:rsidRDefault="00061C21" w:rsidP="00061C21">
      <w:pPr>
        <w:spacing w:line="240" w:lineRule="auto"/>
        <w:jc w:val="center"/>
      </w:pPr>
    </w:p>
    <w:p w14:paraId="5DF113BF" w14:textId="77777777" w:rsidR="00061C21" w:rsidRDefault="00061C21" w:rsidP="00061C21">
      <w:pPr>
        <w:spacing w:line="240" w:lineRule="auto"/>
      </w:pPr>
      <w:r>
        <w:rPr>
          <w:noProof/>
        </w:rPr>
        <w:drawing>
          <wp:inline distT="114300" distB="114300" distL="114300" distR="114300" wp14:anchorId="042420EA" wp14:editId="790F6647">
            <wp:extent cx="6106485" cy="647700"/>
            <wp:effectExtent l="0" t="0" r="0" b="0"/>
            <wp:docPr id="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8" cstate="print"/>
                    <a:srcRect/>
                    <a:stretch>
                      <a:fillRect/>
                    </a:stretch>
                  </pic:blipFill>
                  <pic:spPr>
                    <a:xfrm>
                      <a:off x="0" y="0"/>
                      <a:ext cx="6106485" cy="647700"/>
                    </a:xfrm>
                    <a:prstGeom prst="rect">
                      <a:avLst/>
                    </a:prstGeom>
                    <a:ln/>
                  </pic:spPr>
                </pic:pic>
              </a:graphicData>
            </a:graphic>
          </wp:inline>
        </w:drawing>
      </w:r>
    </w:p>
    <w:p w14:paraId="048F79EE" w14:textId="77777777" w:rsidR="00061C21" w:rsidRDefault="00061C21" w:rsidP="00061C21">
      <w:pPr>
        <w:pStyle w:val="Titolo2"/>
        <w:jc w:val="left"/>
        <w:rPr>
          <w:color w:val="000000"/>
        </w:rPr>
      </w:pPr>
      <w:bookmarkStart w:id="0" w:name="_f5qi247hd84" w:colFirst="0" w:colLast="0"/>
      <w:bookmarkStart w:id="1" w:name="_6t3zqpuaze0t" w:colFirst="0" w:colLast="0"/>
      <w:bookmarkEnd w:id="0"/>
      <w:bookmarkEnd w:id="1"/>
    </w:p>
    <w:p w14:paraId="0F455663" w14:textId="77777777" w:rsidR="00061C21" w:rsidRDefault="00061C21" w:rsidP="00061C21">
      <w:pPr>
        <w:pStyle w:val="Titolo2"/>
        <w:jc w:val="left"/>
        <w:rPr>
          <w:color w:val="000000"/>
        </w:rPr>
      </w:pPr>
      <w:bookmarkStart w:id="2" w:name="_lst4zhb8pd4d" w:colFirst="0" w:colLast="0"/>
      <w:bookmarkEnd w:id="2"/>
      <w:r>
        <w:rPr>
          <w:color w:val="000000"/>
        </w:rPr>
        <w:t>1b - L’evento per le aziende manifatturiere: ManiFuture</w:t>
      </w:r>
    </w:p>
    <w:p w14:paraId="720FCCE8" w14:textId="77777777" w:rsidR="00061C21" w:rsidRDefault="00061C21" w:rsidP="00061C21">
      <w:pPr>
        <w:spacing w:line="240" w:lineRule="auto"/>
        <w:jc w:val="center"/>
      </w:pPr>
      <w:r>
        <w:rPr>
          <w:noProof/>
        </w:rPr>
        <w:drawing>
          <wp:inline distT="114300" distB="114300" distL="114300" distR="114300" wp14:anchorId="5ED3B79D" wp14:editId="7B37EBC1">
            <wp:extent cx="1852613" cy="1277664"/>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cstate="print"/>
                    <a:srcRect/>
                    <a:stretch>
                      <a:fillRect/>
                    </a:stretch>
                  </pic:blipFill>
                  <pic:spPr>
                    <a:xfrm>
                      <a:off x="0" y="0"/>
                      <a:ext cx="1852613" cy="1277664"/>
                    </a:xfrm>
                    <a:prstGeom prst="rect">
                      <a:avLst/>
                    </a:prstGeom>
                    <a:ln/>
                  </pic:spPr>
                </pic:pic>
              </a:graphicData>
            </a:graphic>
          </wp:inline>
        </w:drawing>
      </w:r>
    </w:p>
    <w:p w14:paraId="6334E248" w14:textId="5D9F2022" w:rsidR="00061C21" w:rsidRDefault="00061C21" w:rsidP="00061C21">
      <w:pPr>
        <w:spacing w:line="240" w:lineRule="auto"/>
      </w:pPr>
      <w:r>
        <w:rPr>
          <w:b/>
        </w:rPr>
        <w:t>Quando e dove:</w:t>
      </w:r>
      <w:r>
        <w:t xml:space="preserve"> </w:t>
      </w:r>
      <w:r w:rsidRPr="00DB66D2">
        <w:t>ManiFuture</w:t>
      </w:r>
      <w:r>
        <w:t xml:space="preserve"> avrà luogo </w:t>
      </w:r>
      <w:r>
        <w:rPr>
          <w:u w:val="single"/>
        </w:rPr>
        <w:t>dal 17 al 25 settembre presso il Padiglione 110 della Fiera del Levante.</w:t>
      </w:r>
      <w:r>
        <w:t xml:space="preserve">  </w:t>
      </w:r>
    </w:p>
    <w:p w14:paraId="7ED9C3B0" w14:textId="77777777" w:rsidR="00061C21" w:rsidRDefault="00061C21" w:rsidP="00061C21">
      <w:pPr>
        <w:spacing w:line="240" w:lineRule="auto"/>
      </w:pPr>
      <w:r>
        <w:rPr>
          <w:b/>
        </w:rPr>
        <w:t>Cos'è:</w:t>
      </w:r>
      <w:r>
        <w:t xml:space="preserve"> </w:t>
      </w:r>
      <w:r>
        <w:rPr>
          <w:u w:val="single"/>
        </w:rPr>
        <w:t xml:space="preserve">un salone specializzato del design, destinato ad </w:t>
      </w:r>
      <w:r>
        <w:rPr>
          <w:highlight w:val="white"/>
          <w:u w:val="single"/>
        </w:rPr>
        <w:t xml:space="preserve">artigiani e </w:t>
      </w:r>
      <w:r>
        <w:rPr>
          <w:u w:val="single"/>
        </w:rPr>
        <w:t>aziende di produzione di manufatti di vario tipo, tutti con elevato contenuto di stile e di design</w:t>
      </w:r>
      <w:r>
        <w:t xml:space="preserve">. Nel Padiglione sono attesi circa 100mila visitatori e le imprese espositrici, tutte manifatturiere, avranno la possibilità di vendere direttamente al pubblico i loro prodotti. </w:t>
      </w:r>
    </w:p>
    <w:p w14:paraId="0335277C" w14:textId="77777777" w:rsidR="00061C21" w:rsidRDefault="00061C21" w:rsidP="00061C21">
      <w:pPr>
        <w:spacing w:line="240" w:lineRule="auto"/>
        <w:rPr>
          <w:b/>
        </w:rPr>
      </w:pPr>
      <w:r>
        <w:rPr>
          <w:b/>
        </w:rPr>
        <w:t>Chi può candidarsi ad esporre:</w:t>
      </w:r>
    </w:p>
    <w:p w14:paraId="29386CEE" w14:textId="66EF0501" w:rsidR="00061C21" w:rsidRDefault="00061C21" w:rsidP="00061C21">
      <w:pPr>
        <w:numPr>
          <w:ilvl w:val="0"/>
          <w:numId w:val="5"/>
        </w:numPr>
        <w:spacing w:after="0" w:line="240" w:lineRule="auto"/>
      </w:pPr>
      <w:r>
        <w:rPr>
          <w:u w:val="single"/>
        </w:rPr>
        <w:t>aziende aventi tra i propri codici di attività primaria o secondaria uno dei seguenti:</w:t>
      </w:r>
    </w:p>
    <w:p w14:paraId="74B7B8BB" w14:textId="77777777" w:rsidR="00061C21" w:rsidRDefault="00061C21" w:rsidP="00061C21">
      <w:pPr>
        <w:numPr>
          <w:ilvl w:val="1"/>
          <w:numId w:val="5"/>
        </w:numPr>
        <w:spacing w:after="0" w:line="240" w:lineRule="auto"/>
      </w:pPr>
      <w:r>
        <w:t>confezione di articoli di abbigliamento (ATECO 14 o suoi sotto-gruppi);</w:t>
      </w:r>
    </w:p>
    <w:p w14:paraId="4736DFB6" w14:textId="77777777" w:rsidR="00061C21" w:rsidRDefault="00061C21" w:rsidP="00061C21">
      <w:pPr>
        <w:numPr>
          <w:ilvl w:val="1"/>
          <w:numId w:val="5"/>
        </w:numPr>
        <w:spacing w:after="0" w:line="240" w:lineRule="auto"/>
      </w:pPr>
      <w:r>
        <w:t>fabbricazione di articoli in pelle e simili (ATECO 15 o suoi sotto-gruppi);</w:t>
      </w:r>
    </w:p>
    <w:p w14:paraId="1F3113AC" w14:textId="77777777" w:rsidR="00061C21" w:rsidRDefault="00061C21" w:rsidP="00061C21">
      <w:pPr>
        <w:numPr>
          <w:ilvl w:val="1"/>
          <w:numId w:val="5"/>
        </w:numPr>
        <w:spacing w:after="0" w:line="240" w:lineRule="auto"/>
      </w:pPr>
      <w:r>
        <w:t>industria del legno e del sughero, articoli in paglia e da intreccio (ATECO 16 o suoi sotto-gruppi);</w:t>
      </w:r>
    </w:p>
    <w:p w14:paraId="38CC7D0F" w14:textId="77777777" w:rsidR="00061C21" w:rsidRDefault="00061C21" w:rsidP="00061C21">
      <w:pPr>
        <w:numPr>
          <w:ilvl w:val="1"/>
          <w:numId w:val="5"/>
        </w:numPr>
        <w:spacing w:after="0" w:line="240" w:lineRule="auto"/>
      </w:pPr>
      <w:r>
        <w:t>fabbricazione di articoli in gomma e plastica (ATECO 22 o suoi sotto-gruppi);</w:t>
      </w:r>
    </w:p>
    <w:p w14:paraId="17E67E8B" w14:textId="77777777" w:rsidR="00061C21" w:rsidRDefault="00061C21" w:rsidP="00061C21">
      <w:pPr>
        <w:numPr>
          <w:ilvl w:val="1"/>
          <w:numId w:val="5"/>
        </w:numPr>
        <w:spacing w:after="0" w:line="240" w:lineRule="auto"/>
      </w:pPr>
      <w:r>
        <w:t>fabbricazione di altri prodotti della lavorazione di minerali non metalliferi: vetro, tegola, porcellana, ceramica, cemento, calce, gesso, pietra (ATECO 23 o suoi sotto-gruppi);</w:t>
      </w:r>
    </w:p>
    <w:p w14:paraId="00916906" w14:textId="77777777" w:rsidR="00061C21" w:rsidRDefault="00061C21" w:rsidP="00061C21">
      <w:pPr>
        <w:numPr>
          <w:ilvl w:val="1"/>
          <w:numId w:val="5"/>
        </w:numPr>
        <w:spacing w:after="0" w:line="240" w:lineRule="auto"/>
      </w:pPr>
      <w:r>
        <w:t>fabbricazione di prodotti in metallo, escluse macchine e attrezzature (ATECO 25 o suoi sotto-gruppi);</w:t>
      </w:r>
    </w:p>
    <w:p w14:paraId="6576CC71" w14:textId="77777777" w:rsidR="00061C21" w:rsidRDefault="00061C21" w:rsidP="00061C21">
      <w:pPr>
        <w:numPr>
          <w:ilvl w:val="1"/>
          <w:numId w:val="5"/>
        </w:numPr>
        <w:spacing w:after="0" w:line="240" w:lineRule="auto"/>
      </w:pPr>
      <w:r>
        <w:t>fabbricazione di apparecchiature elettriche e non elettriche per uso domestico (ATECO 27 o suoi sotto-gruppi);</w:t>
      </w:r>
    </w:p>
    <w:p w14:paraId="198DECE9" w14:textId="77777777" w:rsidR="00061C21" w:rsidRDefault="00061C21" w:rsidP="00061C21">
      <w:pPr>
        <w:numPr>
          <w:ilvl w:val="1"/>
          <w:numId w:val="5"/>
        </w:numPr>
        <w:spacing w:after="0" w:line="240" w:lineRule="auto"/>
      </w:pPr>
      <w:r>
        <w:t>fabbricazione dei mobili (ATECO 31 o suoi sotto-gruppi);</w:t>
      </w:r>
    </w:p>
    <w:p w14:paraId="74C66E20" w14:textId="77777777" w:rsidR="00061C21" w:rsidRDefault="00061C21" w:rsidP="00061C21">
      <w:pPr>
        <w:numPr>
          <w:ilvl w:val="1"/>
          <w:numId w:val="5"/>
        </w:numPr>
        <w:spacing w:line="240" w:lineRule="auto"/>
      </w:pPr>
      <w:r>
        <w:t>gioielleria, oreficeria, bigiotteria, strumenti musicali, articoli sportivi, giochi e giocattoli, ecc. (ATECO 32 o suoi sotto-gruppi);</w:t>
      </w:r>
    </w:p>
    <w:p w14:paraId="7B7BA666" w14:textId="77777777" w:rsidR="00061C21" w:rsidRDefault="00061C21" w:rsidP="00061C21">
      <w:pPr>
        <w:spacing w:line="240" w:lineRule="auto"/>
      </w:pPr>
      <w:r>
        <w:rPr>
          <w:b/>
        </w:rPr>
        <w:t>Quanto costa partecipare:</w:t>
      </w:r>
      <w:r>
        <w:rPr>
          <w:b/>
          <w:u w:val="single"/>
        </w:rPr>
        <w:t xml:space="preserve"> </w:t>
      </w:r>
      <w:r>
        <w:rPr>
          <w:u w:val="single"/>
        </w:rPr>
        <w:t>Per ogni modulo espositivo</w:t>
      </w:r>
      <w:r>
        <w:t xml:space="preserve">, delle dimensioni pari a circa 10-12 mq, sarà richiesta una quota di partecipazione, comprensiva di iscrizione alla Fiera, pari a euro </w:t>
      </w:r>
      <w:r>
        <w:rPr>
          <w:u w:val="single"/>
        </w:rPr>
        <w:t>1.000 + IVA (800 + IVA per i soci ADI</w:t>
      </w:r>
      <w:r>
        <w:t>, grazie a una convenzione Unioncamere Puglia - ADI Puglia e Basilicata - Nuova Fiera del Levante). Le imprese potranno richiedere fino a un massimo di 5 moduli espositivi. L’azienda espositrice provvederà autonomamente a individuare proprio personale per presenziare negli stand dal 17 al 25 settembre.</w:t>
      </w:r>
    </w:p>
    <w:p w14:paraId="51ABA318" w14:textId="77777777" w:rsidR="00061C21" w:rsidRDefault="00061C21" w:rsidP="00061C21">
      <w:pPr>
        <w:spacing w:line="240" w:lineRule="auto"/>
        <w:rPr>
          <w:b/>
        </w:rPr>
      </w:pPr>
      <w:r>
        <w:rPr>
          <w:b/>
        </w:rPr>
        <w:t>Quali sono i bonus gratuiti per chi espone:</w:t>
      </w:r>
    </w:p>
    <w:p w14:paraId="409CBC4A" w14:textId="77777777" w:rsidR="00061C21" w:rsidRDefault="00061C21" w:rsidP="00061C21">
      <w:pPr>
        <w:numPr>
          <w:ilvl w:val="0"/>
          <w:numId w:val="3"/>
        </w:numPr>
        <w:spacing w:after="0" w:line="240" w:lineRule="auto"/>
      </w:pPr>
      <w:r>
        <w:rPr>
          <w:u w:val="single"/>
        </w:rPr>
        <w:t>incontrare gratuitamente i designer coinvolti in Design to Business</w:t>
      </w:r>
      <w:r>
        <w:t>, nell’ambito dell’evento B2B del 23 settembre 2022;</w:t>
      </w:r>
    </w:p>
    <w:p w14:paraId="57F0444A" w14:textId="77777777" w:rsidR="00061C21" w:rsidRDefault="00061C21" w:rsidP="00061C21">
      <w:pPr>
        <w:numPr>
          <w:ilvl w:val="0"/>
          <w:numId w:val="3"/>
        </w:numPr>
        <w:spacing w:after="0" w:line="240" w:lineRule="auto"/>
      </w:pPr>
      <w:r>
        <w:rPr>
          <w:u w:val="single"/>
        </w:rPr>
        <w:t>ricevere visibilità per la propria azienda nell’ambito di uno “Speciale Fiera” che sarà pubblicato sui media</w:t>
      </w:r>
      <w:r>
        <w:t>, nel quale ciascuna azienda espositrice racconterà brevemente la propria storia, la sua produzione e il proprio percorso di avvicinamento al design;</w:t>
      </w:r>
    </w:p>
    <w:p w14:paraId="3778A9D1" w14:textId="77777777" w:rsidR="00061C21" w:rsidRDefault="00061C21" w:rsidP="00061C21">
      <w:pPr>
        <w:numPr>
          <w:ilvl w:val="0"/>
          <w:numId w:val="3"/>
        </w:numPr>
        <w:spacing w:after="0" w:line="240" w:lineRule="auto"/>
      </w:pPr>
      <w:r>
        <w:rPr>
          <w:u w:val="single"/>
        </w:rPr>
        <w:lastRenderedPageBreak/>
        <w:t>costituire parte integrante di un apposito catalogo degli espositori</w:t>
      </w:r>
      <w:r>
        <w:t xml:space="preserve"> di ManiFuture, uno strumento di comunicazione molto utile alla singola impresa, anche dopo l’evento;</w:t>
      </w:r>
    </w:p>
    <w:p w14:paraId="2B179616" w14:textId="77777777" w:rsidR="00061C21" w:rsidRDefault="00061C21" w:rsidP="00061C21">
      <w:pPr>
        <w:numPr>
          <w:ilvl w:val="0"/>
          <w:numId w:val="3"/>
        </w:numPr>
        <w:spacing w:after="0" w:line="240" w:lineRule="auto"/>
      </w:pPr>
      <w:r>
        <w:rPr>
          <w:u w:val="single"/>
        </w:rPr>
        <w:t>godere di un ampio flusso di pubblico, grazie a una serie di talk e mostre programmate nell’area prospiciente all’esposizione ManiFuture e riguardanti importanti archi-star italiani</w:t>
      </w:r>
      <w:r>
        <w:t xml:space="preserve"> (es. una mostra su Riccardo Dalisi,  dibattiti su Vico Magistretti, Franco Albini, ecc.);</w:t>
      </w:r>
    </w:p>
    <w:p w14:paraId="42E597B1" w14:textId="77777777" w:rsidR="00061C21" w:rsidRDefault="00061C21" w:rsidP="00061C21">
      <w:pPr>
        <w:numPr>
          <w:ilvl w:val="0"/>
          <w:numId w:val="3"/>
        </w:numPr>
        <w:spacing w:line="240" w:lineRule="auto"/>
      </w:pPr>
      <w:r>
        <w:rPr>
          <w:u w:val="single"/>
        </w:rPr>
        <w:t>poter richiedere gratuitamente a Unioncamere Puglia</w:t>
      </w:r>
      <w:r>
        <w:t xml:space="preserve"> </w:t>
      </w:r>
      <w:r>
        <w:rPr>
          <w:u w:val="single"/>
        </w:rPr>
        <w:t>una apposita ricerca di partner in circa 60 paesi al mondo</w:t>
      </w:r>
      <w:r>
        <w:t xml:space="preserve"> (servizio offerto grazie alla partnership con EEN - Enterprise Europe Network, la più grande rete mondiale di sostegno alle imprese per la competitività, l’innovazione e il trasferimento tecnologico). In particolare, ciascuna azienda espositrice in ManiFuture potrà avviare una ricerca partner per cercare i seguenti profili: </w:t>
      </w:r>
      <w:r>
        <w:rPr>
          <w:u w:val="single"/>
        </w:rPr>
        <w:t>fornitori, partner scientifici o tecnologici, agenti, strutture di distribuzione</w:t>
      </w:r>
      <w:r>
        <w:t>. A tal fine, un funzionario di Unioncamere Puglia/EEN visiterà l’espositore per stabilire insieme il contenuto della ricerca partner gratuita da disseminare tramite il network internazionale.</w:t>
      </w:r>
    </w:p>
    <w:p w14:paraId="7CF94900" w14:textId="77777777" w:rsidR="00061C21" w:rsidRDefault="00061C21" w:rsidP="00061C21">
      <w:pPr>
        <w:spacing w:line="240" w:lineRule="auto"/>
        <w:ind w:left="360"/>
      </w:pPr>
    </w:p>
    <w:p w14:paraId="02726DD4" w14:textId="77777777" w:rsidR="00061C21" w:rsidRDefault="00061C21" w:rsidP="00061C21">
      <w:pPr>
        <w:spacing w:line="240" w:lineRule="auto"/>
        <w:jc w:val="center"/>
      </w:pPr>
      <w:r>
        <w:rPr>
          <w:b/>
        </w:rPr>
        <w:t>ManiFuture è organizzato da:</w:t>
      </w:r>
      <w:r>
        <w:t xml:space="preserve"> </w:t>
      </w:r>
    </w:p>
    <w:p w14:paraId="7AEC15FC" w14:textId="77777777" w:rsidR="00061C21" w:rsidRDefault="00061C21" w:rsidP="00061C21">
      <w:pPr>
        <w:spacing w:line="240" w:lineRule="auto"/>
        <w:jc w:val="center"/>
      </w:pPr>
      <w:r>
        <w:rPr>
          <w:noProof/>
        </w:rPr>
        <w:drawing>
          <wp:inline distT="114300" distB="114300" distL="114300" distR="114300" wp14:anchorId="2B5C56A2" wp14:editId="107440B9">
            <wp:extent cx="3652838" cy="605747"/>
            <wp:effectExtent l="0" t="0" r="0" b="0"/>
            <wp:docPr id="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0" cstate="print"/>
                    <a:srcRect/>
                    <a:stretch>
                      <a:fillRect/>
                    </a:stretch>
                  </pic:blipFill>
                  <pic:spPr>
                    <a:xfrm>
                      <a:off x="0" y="0"/>
                      <a:ext cx="3652838" cy="605747"/>
                    </a:xfrm>
                    <a:prstGeom prst="rect">
                      <a:avLst/>
                    </a:prstGeom>
                    <a:ln/>
                  </pic:spPr>
                </pic:pic>
              </a:graphicData>
            </a:graphic>
          </wp:inline>
        </w:drawing>
      </w:r>
    </w:p>
    <w:p w14:paraId="4E1458B0" w14:textId="77777777" w:rsidR="00061C21" w:rsidRDefault="00061C21" w:rsidP="00061C21">
      <w:pPr>
        <w:pBdr>
          <w:top w:val="nil"/>
          <w:left w:val="nil"/>
          <w:bottom w:val="nil"/>
          <w:right w:val="nil"/>
          <w:between w:val="nil"/>
        </w:pBdr>
        <w:spacing w:line="240" w:lineRule="auto"/>
      </w:pPr>
    </w:p>
    <w:p w14:paraId="7D9B3751" w14:textId="77777777" w:rsidR="00061C21" w:rsidRDefault="00061C21" w:rsidP="00061C21">
      <w:pPr>
        <w:pBdr>
          <w:top w:val="nil"/>
          <w:left w:val="nil"/>
          <w:bottom w:val="nil"/>
          <w:right w:val="nil"/>
          <w:between w:val="nil"/>
        </w:pBdr>
        <w:spacing w:line="240" w:lineRule="auto"/>
      </w:pPr>
    </w:p>
    <w:p w14:paraId="46A62765" w14:textId="77777777" w:rsidR="00061C21" w:rsidRDefault="00061C21" w:rsidP="00061C21">
      <w:pPr>
        <w:pStyle w:val="Titolo2"/>
        <w:rPr>
          <w:rFonts w:ascii="Calibri" w:eastAsia="Calibri" w:hAnsi="Calibri" w:cs="Calibri"/>
        </w:rPr>
      </w:pPr>
      <w:r>
        <w:rPr>
          <w:color w:val="000000"/>
        </w:rPr>
        <w:t xml:space="preserve">3 - Chi può partecipare </w:t>
      </w:r>
    </w:p>
    <w:p w14:paraId="6F422907" w14:textId="77777777" w:rsidR="00061C21" w:rsidRDefault="00061C21" w:rsidP="00061C21">
      <w:pPr>
        <w:spacing w:after="0" w:line="240" w:lineRule="auto"/>
      </w:pPr>
      <w:r>
        <w:t xml:space="preserve">Oltre ai requisiti di cui ai paragrafi </w:t>
      </w:r>
      <w:r>
        <w:rPr>
          <w:highlight w:val="white"/>
        </w:rPr>
        <w:t>1a) e 1b)</w:t>
      </w:r>
      <w:r>
        <w:t>, i proponenti dovranno:</w:t>
      </w:r>
    </w:p>
    <w:p w14:paraId="582CDB7E" w14:textId="77777777" w:rsidR="00061C21" w:rsidRDefault="00061C21" w:rsidP="00061C21">
      <w:pPr>
        <w:numPr>
          <w:ilvl w:val="0"/>
          <w:numId w:val="6"/>
        </w:numPr>
        <w:spacing w:after="0" w:line="240" w:lineRule="auto"/>
      </w:pPr>
      <w:r>
        <w:t>accettare tutte le condizioni del presente Bando, incluse quelle sul trattamento dati e sui costi, ove previsti (solo ManiFuture; Design to Business è gratuito);</w:t>
      </w:r>
    </w:p>
    <w:p w14:paraId="4BED449E" w14:textId="77777777" w:rsidR="00061C21" w:rsidRDefault="00061C21" w:rsidP="00061C21">
      <w:pPr>
        <w:spacing w:after="0" w:line="240" w:lineRule="auto"/>
      </w:pPr>
      <w:r>
        <w:t>Le sole aziende, inoltre, dovranno:</w:t>
      </w:r>
    </w:p>
    <w:p w14:paraId="07A84873" w14:textId="77777777" w:rsidR="00061C21" w:rsidRDefault="00061C21" w:rsidP="00061C21">
      <w:pPr>
        <w:numPr>
          <w:ilvl w:val="0"/>
          <w:numId w:val="6"/>
        </w:numPr>
        <w:spacing w:after="0" w:line="240" w:lineRule="auto"/>
      </w:pPr>
      <w:r>
        <w:t>dichiarare, ai fini dell’inserimento del contributo ricevuto nel Registro nazionale Aiuti di Stato, se l’azienda si configuri come una Micro impresa (meno di 10 occupati e fatturato o bilancio annuo non superiore a 2 MLN/euro); oppure una Piccola impresa (da 10 a 49 occupati e fatturato o bilancio annuo non superiore a 10 MLN/euro); Media impresa (da 50 a 249 occupati e fatturato annuo non superiore a 50 MLN/euro e un bilancio annuo non superiore a 43 MLN/euro).</w:t>
      </w:r>
    </w:p>
    <w:p w14:paraId="5DF0165A" w14:textId="77777777" w:rsidR="00061C21" w:rsidRDefault="00061C21" w:rsidP="00061C21">
      <w:pPr>
        <w:spacing w:line="240" w:lineRule="auto"/>
        <w:rPr>
          <w:b/>
        </w:rPr>
      </w:pPr>
    </w:p>
    <w:p w14:paraId="5E966BD6" w14:textId="77777777" w:rsidR="00061C21" w:rsidRDefault="00061C21" w:rsidP="00061C21">
      <w:pPr>
        <w:pStyle w:val="Titolo2"/>
        <w:rPr>
          <w:color w:val="000000"/>
        </w:rPr>
      </w:pPr>
      <w:r>
        <w:rPr>
          <w:color w:val="000000"/>
        </w:rPr>
        <w:t>4 - Candidature</w:t>
      </w:r>
    </w:p>
    <w:p w14:paraId="4BB3D538" w14:textId="77777777" w:rsidR="00061C21" w:rsidRDefault="00061C21" w:rsidP="00061C21">
      <w:pPr>
        <w:pStyle w:val="Titolo2"/>
        <w:jc w:val="left"/>
      </w:pPr>
      <w:bookmarkStart w:id="3" w:name="_5d6n9wkbg8i1" w:colFirst="0" w:colLast="0"/>
      <w:bookmarkEnd w:id="3"/>
      <w:r>
        <w:rPr>
          <w:color w:val="000000"/>
        </w:rPr>
        <w:t>4a - Candidatura dei designer a Design to Business</w:t>
      </w:r>
    </w:p>
    <w:p w14:paraId="4D07B570" w14:textId="77777777" w:rsidR="00061C21" w:rsidRDefault="00061C21" w:rsidP="00061C21">
      <w:pPr>
        <w:spacing w:line="240" w:lineRule="auto"/>
      </w:pPr>
      <w:r>
        <w:t>I designer, i cui requisiti sono indicati al paragrafo 1a), dovranno presentare la propria candidatura a Design to Business attraverso l'</w:t>
      </w:r>
      <w:r>
        <w:rPr>
          <w:b/>
        </w:rPr>
        <w:t>Allegato A</w:t>
      </w:r>
      <w:r>
        <w:t>. La candidatura dovrà esplicitare e sviluppare i seguenti contenuti minimi:</w:t>
      </w:r>
    </w:p>
    <w:p w14:paraId="3BC85956" w14:textId="77777777" w:rsidR="00061C21" w:rsidRDefault="00061C21" w:rsidP="00061C21">
      <w:pPr>
        <w:numPr>
          <w:ilvl w:val="0"/>
          <w:numId w:val="16"/>
        </w:numPr>
        <w:pBdr>
          <w:top w:val="nil"/>
          <w:left w:val="nil"/>
          <w:bottom w:val="nil"/>
          <w:right w:val="nil"/>
          <w:between w:val="nil"/>
        </w:pBdr>
        <w:spacing w:after="0" w:line="240" w:lineRule="auto"/>
      </w:pPr>
      <w:r>
        <w:t>company profile descrittivo dell’azienda o curriculum vitae del designer (in formato libero, file pdf., max 2 pagine);</w:t>
      </w:r>
    </w:p>
    <w:p w14:paraId="1018154E" w14:textId="77777777" w:rsidR="00061C21" w:rsidRDefault="00061C21" w:rsidP="00061C21">
      <w:pPr>
        <w:numPr>
          <w:ilvl w:val="0"/>
          <w:numId w:val="16"/>
        </w:numPr>
        <w:pBdr>
          <w:top w:val="nil"/>
          <w:left w:val="nil"/>
          <w:bottom w:val="nil"/>
          <w:right w:val="nil"/>
          <w:between w:val="nil"/>
        </w:pBdr>
        <w:spacing w:after="0" w:line="240" w:lineRule="auto"/>
      </w:pPr>
      <w:r>
        <w:t>portfolio visuale dell’azienda o del designer (in formato libero, file pdf., max 10 immagini);</w:t>
      </w:r>
    </w:p>
    <w:p w14:paraId="06F61BBE" w14:textId="77777777" w:rsidR="00061C21" w:rsidRDefault="00061C21" w:rsidP="00061C21">
      <w:pPr>
        <w:numPr>
          <w:ilvl w:val="0"/>
          <w:numId w:val="16"/>
        </w:numPr>
        <w:pBdr>
          <w:top w:val="nil"/>
          <w:left w:val="nil"/>
          <w:bottom w:val="nil"/>
          <w:right w:val="nil"/>
          <w:between w:val="nil"/>
        </w:pBdr>
        <w:spacing w:after="0" w:line="240" w:lineRule="auto"/>
      </w:pPr>
      <w:r>
        <w:t>concept sintetico dell’oggetto da esporre (1 solo oggetto);</w:t>
      </w:r>
    </w:p>
    <w:p w14:paraId="2A9309AA" w14:textId="77777777" w:rsidR="00061C21" w:rsidRDefault="00061C21" w:rsidP="00061C21">
      <w:pPr>
        <w:numPr>
          <w:ilvl w:val="0"/>
          <w:numId w:val="16"/>
        </w:numPr>
        <w:pBdr>
          <w:top w:val="nil"/>
          <w:left w:val="nil"/>
          <w:bottom w:val="nil"/>
          <w:right w:val="nil"/>
          <w:between w:val="nil"/>
        </w:pBdr>
        <w:spacing w:after="0" w:line="240" w:lineRule="auto"/>
      </w:pPr>
      <w:r>
        <w:lastRenderedPageBreak/>
        <w:t>min. 1, max 3 fotografie dell’oggetto da esporre.</w:t>
      </w:r>
    </w:p>
    <w:p w14:paraId="5565B1B5" w14:textId="77777777" w:rsidR="00291292" w:rsidRDefault="00291292" w:rsidP="00291292">
      <w:pPr>
        <w:pBdr>
          <w:top w:val="nil"/>
          <w:left w:val="nil"/>
          <w:bottom w:val="nil"/>
          <w:right w:val="nil"/>
          <w:between w:val="nil"/>
        </w:pBdr>
        <w:spacing w:after="0" w:line="240" w:lineRule="auto"/>
      </w:pPr>
    </w:p>
    <w:p w14:paraId="395F5B6C" w14:textId="77777777" w:rsidR="00061C21" w:rsidRDefault="00061C21" w:rsidP="00061C21">
      <w:pPr>
        <w:pBdr>
          <w:top w:val="nil"/>
          <w:left w:val="nil"/>
          <w:bottom w:val="nil"/>
          <w:right w:val="nil"/>
          <w:between w:val="nil"/>
        </w:pBdr>
        <w:spacing w:after="0" w:line="240" w:lineRule="auto"/>
        <w:ind w:left="1080"/>
      </w:pPr>
    </w:p>
    <w:p w14:paraId="1A4322F1" w14:textId="77777777" w:rsidR="00061C21" w:rsidRDefault="00061C21" w:rsidP="00061C21">
      <w:pPr>
        <w:pStyle w:val="Titolo2"/>
        <w:pBdr>
          <w:top w:val="nil"/>
          <w:left w:val="nil"/>
          <w:bottom w:val="nil"/>
          <w:right w:val="nil"/>
          <w:between w:val="nil"/>
        </w:pBdr>
        <w:jc w:val="left"/>
      </w:pPr>
      <w:bookmarkStart w:id="4" w:name="_tqddkx2b1ter" w:colFirst="0" w:colLast="0"/>
      <w:bookmarkEnd w:id="4"/>
      <w:r>
        <w:rPr>
          <w:color w:val="000000"/>
        </w:rPr>
        <w:t>4b - Candidatura delle aziende manifatturiere a ManiFuture e ai B2B di Design to Business</w:t>
      </w:r>
    </w:p>
    <w:p w14:paraId="1CA02FD3" w14:textId="77777777" w:rsidR="00061C21" w:rsidRDefault="00061C21" w:rsidP="00061C21">
      <w:pPr>
        <w:pBdr>
          <w:top w:val="nil"/>
          <w:left w:val="nil"/>
          <w:bottom w:val="nil"/>
          <w:right w:val="nil"/>
          <w:between w:val="nil"/>
        </w:pBdr>
        <w:spacing w:after="0" w:line="240" w:lineRule="auto"/>
      </w:pPr>
      <w:r>
        <w:t>Le aziende manifatturiere, i cui requisiti sono indicati al paragrafo 1b), potranno partecipare a tre diverse combinazioni di eventi:</w:t>
      </w:r>
    </w:p>
    <w:p w14:paraId="485774F0" w14:textId="77777777" w:rsidR="00061C21" w:rsidRDefault="00061C21" w:rsidP="00061C21">
      <w:pPr>
        <w:pBdr>
          <w:top w:val="nil"/>
          <w:left w:val="nil"/>
          <w:bottom w:val="nil"/>
          <w:right w:val="nil"/>
          <w:between w:val="nil"/>
        </w:pBdr>
        <w:spacing w:after="0" w:line="240" w:lineRule="auto"/>
      </w:pPr>
    </w:p>
    <w:tbl>
      <w:tblPr>
        <w:tblW w:w="9720"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75"/>
        <w:gridCol w:w="3555"/>
        <w:gridCol w:w="3090"/>
      </w:tblGrid>
      <w:tr w:rsidR="00061C21" w14:paraId="1C8FA880" w14:textId="77777777" w:rsidTr="00E116C2">
        <w:tc>
          <w:tcPr>
            <w:tcW w:w="3075" w:type="dxa"/>
            <w:shd w:val="clear" w:color="auto" w:fill="auto"/>
            <w:tcMar>
              <w:top w:w="100" w:type="dxa"/>
              <w:left w:w="100" w:type="dxa"/>
              <w:bottom w:w="100" w:type="dxa"/>
              <w:right w:w="100" w:type="dxa"/>
            </w:tcMar>
          </w:tcPr>
          <w:p w14:paraId="5E2DF95F" w14:textId="77777777" w:rsidR="00061C21" w:rsidRDefault="00061C21" w:rsidP="00E116C2">
            <w:pPr>
              <w:widowControl w:val="0"/>
              <w:spacing w:after="0" w:line="240" w:lineRule="auto"/>
              <w:jc w:val="left"/>
              <w:rPr>
                <w:b/>
              </w:rPr>
            </w:pPr>
            <w:r>
              <w:rPr>
                <w:b/>
              </w:rPr>
              <w:t>Eventi a cui candidarsi</w:t>
            </w:r>
          </w:p>
        </w:tc>
        <w:tc>
          <w:tcPr>
            <w:tcW w:w="3555" w:type="dxa"/>
            <w:shd w:val="clear" w:color="auto" w:fill="auto"/>
            <w:tcMar>
              <w:top w:w="100" w:type="dxa"/>
              <w:left w:w="100" w:type="dxa"/>
              <w:bottom w:w="100" w:type="dxa"/>
              <w:right w:w="100" w:type="dxa"/>
            </w:tcMar>
          </w:tcPr>
          <w:p w14:paraId="24C497B7" w14:textId="77777777" w:rsidR="00061C21" w:rsidRDefault="00061C21" w:rsidP="00E116C2">
            <w:pPr>
              <w:widowControl w:val="0"/>
              <w:pBdr>
                <w:top w:val="nil"/>
                <w:left w:val="nil"/>
                <w:bottom w:val="nil"/>
                <w:right w:val="nil"/>
                <w:between w:val="nil"/>
              </w:pBdr>
              <w:spacing w:after="0" w:line="240" w:lineRule="auto"/>
              <w:jc w:val="left"/>
              <w:rPr>
                <w:b/>
              </w:rPr>
            </w:pPr>
            <w:r>
              <w:rPr>
                <w:b/>
              </w:rPr>
              <w:t>Risultati attesi</w:t>
            </w:r>
          </w:p>
        </w:tc>
        <w:tc>
          <w:tcPr>
            <w:tcW w:w="3090" w:type="dxa"/>
            <w:shd w:val="clear" w:color="auto" w:fill="auto"/>
            <w:tcMar>
              <w:top w:w="100" w:type="dxa"/>
              <w:left w:w="100" w:type="dxa"/>
              <w:bottom w:w="100" w:type="dxa"/>
              <w:right w:w="100" w:type="dxa"/>
            </w:tcMar>
          </w:tcPr>
          <w:p w14:paraId="24FD1808" w14:textId="77777777" w:rsidR="00061C21" w:rsidRDefault="00061C21" w:rsidP="00E116C2">
            <w:pPr>
              <w:widowControl w:val="0"/>
              <w:pBdr>
                <w:top w:val="nil"/>
                <w:left w:val="nil"/>
                <w:bottom w:val="nil"/>
                <w:right w:val="nil"/>
                <w:between w:val="nil"/>
              </w:pBdr>
              <w:spacing w:after="0" w:line="240" w:lineRule="auto"/>
              <w:jc w:val="left"/>
              <w:rPr>
                <w:b/>
              </w:rPr>
            </w:pPr>
            <w:r>
              <w:rPr>
                <w:b/>
              </w:rPr>
              <w:t>Costo</w:t>
            </w:r>
          </w:p>
        </w:tc>
      </w:tr>
      <w:tr w:rsidR="00061C21" w14:paraId="6F6A3468" w14:textId="77777777" w:rsidTr="00E116C2">
        <w:tc>
          <w:tcPr>
            <w:tcW w:w="3075" w:type="dxa"/>
            <w:shd w:val="clear" w:color="auto" w:fill="auto"/>
            <w:tcMar>
              <w:top w:w="100" w:type="dxa"/>
              <w:left w:w="100" w:type="dxa"/>
              <w:bottom w:w="100" w:type="dxa"/>
              <w:right w:w="100" w:type="dxa"/>
            </w:tcMar>
          </w:tcPr>
          <w:p w14:paraId="4E3FF5D0" w14:textId="77777777" w:rsidR="00061C21" w:rsidRDefault="00061C21" w:rsidP="00E116C2">
            <w:pPr>
              <w:widowControl w:val="0"/>
              <w:spacing w:after="0" w:line="240" w:lineRule="auto"/>
              <w:jc w:val="left"/>
            </w:pPr>
            <w:r>
              <w:t xml:space="preserve">ManiFuture + </w:t>
            </w:r>
          </w:p>
          <w:p w14:paraId="06C61910" w14:textId="77777777" w:rsidR="00061C21" w:rsidRDefault="00061C21" w:rsidP="00E116C2">
            <w:pPr>
              <w:widowControl w:val="0"/>
              <w:spacing w:after="0" w:line="240" w:lineRule="auto"/>
              <w:jc w:val="left"/>
            </w:pPr>
            <w:r>
              <w:t>B2B di Design to Business</w:t>
            </w:r>
          </w:p>
        </w:tc>
        <w:tc>
          <w:tcPr>
            <w:tcW w:w="3555" w:type="dxa"/>
            <w:shd w:val="clear" w:color="auto" w:fill="auto"/>
            <w:tcMar>
              <w:top w:w="100" w:type="dxa"/>
              <w:left w:w="100" w:type="dxa"/>
              <w:bottom w:w="100" w:type="dxa"/>
              <w:right w:w="100" w:type="dxa"/>
            </w:tcMar>
          </w:tcPr>
          <w:p w14:paraId="78BC2EE2" w14:textId="77777777" w:rsidR="00061C21" w:rsidRDefault="00061C21" w:rsidP="00E116C2">
            <w:pPr>
              <w:widowControl w:val="0"/>
              <w:pBdr>
                <w:top w:val="nil"/>
                <w:left w:val="nil"/>
                <w:bottom w:val="nil"/>
                <w:right w:val="nil"/>
                <w:between w:val="nil"/>
              </w:pBdr>
              <w:spacing w:after="0" w:line="240" w:lineRule="auto"/>
              <w:jc w:val="left"/>
            </w:pPr>
            <w:r>
              <w:t>Vendere al pubblico + incontrare i designer nei B2B</w:t>
            </w:r>
          </w:p>
        </w:tc>
        <w:tc>
          <w:tcPr>
            <w:tcW w:w="3090" w:type="dxa"/>
            <w:shd w:val="clear" w:color="auto" w:fill="auto"/>
            <w:tcMar>
              <w:top w:w="100" w:type="dxa"/>
              <w:left w:w="100" w:type="dxa"/>
              <w:bottom w:w="100" w:type="dxa"/>
              <w:right w:w="100" w:type="dxa"/>
            </w:tcMar>
          </w:tcPr>
          <w:p w14:paraId="665F9D85" w14:textId="77777777" w:rsidR="00061C21" w:rsidRDefault="00061C21" w:rsidP="00E116C2">
            <w:pPr>
              <w:widowControl w:val="0"/>
              <w:pBdr>
                <w:top w:val="nil"/>
                <w:left w:val="nil"/>
                <w:bottom w:val="nil"/>
                <w:right w:val="nil"/>
                <w:between w:val="nil"/>
              </w:pBdr>
              <w:spacing w:after="0" w:line="240" w:lineRule="auto"/>
              <w:jc w:val="left"/>
            </w:pPr>
            <w:r>
              <w:t xml:space="preserve">1.000 + IVA </w:t>
            </w:r>
          </w:p>
          <w:p w14:paraId="7D2AD63F" w14:textId="77777777" w:rsidR="00061C21" w:rsidRDefault="00061C21" w:rsidP="00E116C2">
            <w:pPr>
              <w:widowControl w:val="0"/>
              <w:pBdr>
                <w:top w:val="nil"/>
                <w:left w:val="nil"/>
                <w:bottom w:val="nil"/>
                <w:right w:val="nil"/>
                <w:between w:val="nil"/>
              </w:pBdr>
              <w:spacing w:after="0" w:line="240" w:lineRule="auto"/>
              <w:jc w:val="left"/>
            </w:pPr>
            <w:r>
              <w:t>(800 + IVA per i soci ADI)</w:t>
            </w:r>
          </w:p>
        </w:tc>
      </w:tr>
      <w:tr w:rsidR="00061C21" w14:paraId="7ACAFE98" w14:textId="77777777" w:rsidTr="00E116C2">
        <w:tc>
          <w:tcPr>
            <w:tcW w:w="3075" w:type="dxa"/>
            <w:shd w:val="clear" w:color="auto" w:fill="auto"/>
            <w:tcMar>
              <w:top w:w="100" w:type="dxa"/>
              <w:left w:w="100" w:type="dxa"/>
              <w:bottom w:w="100" w:type="dxa"/>
              <w:right w:w="100" w:type="dxa"/>
            </w:tcMar>
          </w:tcPr>
          <w:p w14:paraId="58696DFE" w14:textId="77777777" w:rsidR="00061C21" w:rsidRDefault="00061C21" w:rsidP="00E116C2">
            <w:pPr>
              <w:widowControl w:val="0"/>
              <w:spacing w:after="0" w:line="240" w:lineRule="auto"/>
              <w:jc w:val="left"/>
            </w:pPr>
            <w:r>
              <w:t>ManiFuture</w:t>
            </w:r>
          </w:p>
        </w:tc>
        <w:tc>
          <w:tcPr>
            <w:tcW w:w="3555" w:type="dxa"/>
            <w:shd w:val="clear" w:color="auto" w:fill="auto"/>
            <w:tcMar>
              <w:top w:w="100" w:type="dxa"/>
              <w:left w:w="100" w:type="dxa"/>
              <w:bottom w:w="100" w:type="dxa"/>
              <w:right w:w="100" w:type="dxa"/>
            </w:tcMar>
          </w:tcPr>
          <w:p w14:paraId="5FAD9EFC" w14:textId="77777777" w:rsidR="00061C21" w:rsidRDefault="00061C21" w:rsidP="00E116C2">
            <w:pPr>
              <w:widowControl w:val="0"/>
              <w:pBdr>
                <w:top w:val="nil"/>
                <w:left w:val="nil"/>
                <w:bottom w:val="nil"/>
                <w:right w:val="nil"/>
                <w:between w:val="nil"/>
              </w:pBdr>
              <w:spacing w:after="0" w:line="240" w:lineRule="auto"/>
              <w:jc w:val="left"/>
            </w:pPr>
            <w:r>
              <w:t>Solo vendere al pubblico</w:t>
            </w:r>
          </w:p>
        </w:tc>
        <w:tc>
          <w:tcPr>
            <w:tcW w:w="3090" w:type="dxa"/>
            <w:shd w:val="clear" w:color="auto" w:fill="auto"/>
            <w:tcMar>
              <w:top w:w="100" w:type="dxa"/>
              <w:left w:w="100" w:type="dxa"/>
              <w:bottom w:w="100" w:type="dxa"/>
              <w:right w:w="100" w:type="dxa"/>
            </w:tcMar>
          </w:tcPr>
          <w:p w14:paraId="22B9111A" w14:textId="77777777" w:rsidR="00061C21" w:rsidRDefault="00061C21" w:rsidP="00E116C2">
            <w:pPr>
              <w:widowControl w:val="0"/>
              <w:pBdr>
                <w:top w:val="nil"/>
                <w:left w:val="nil"/>
                <w:bottom w:val="nil"/>
                <w:right w:val="nil"/>
                <w:between w:val="nil"/>
              </w:pBdr>
              <w:spacing w:after="0" w:line="240" w:lineRule="auto"/>
              <w:jc w:val="left"/>
            </w:pPr>
            <w:r>
              <w:t xml:space="preserve">1.000 + IVA </w:t>
            </w:r>
          </w:p>
          <w:p w14:paraId="30D1C6F9" w14:textId="77777777" w:rsidR="00061C21" w:rsidRDefault="00061C21" w:rsidP="00E116C2">
            <w:pPr>
              <w:widowControl w:val="0"/>
              <w:pBdr>
                <w:top w:val="nil"/>
                <w:left w:val="nil"/>
                <w:bottom w:val="nil"/>
                <w:right w:val="nil"/>
                <w:between w:val="nil"/>
              </w:pBdr>
              <w:spacing w:after="0" w:line="240" w:lineRule="auto"/>
              <w:jc w:val="left"/>
            </w:pPr>
            <w:r>
              <w:t>(800 + IVA per i soci ADI)</w:t>
            </w:r>
          </w:p>
        </w:tc>
      </w:tr>
      <w:tr w:rsidR="00061C21" w14:paraId="732F9311" w14:textId="77777777" w:rsidTr="00E116C2">
        <w:tc>
          <w:tcPr>
            <w:tcW w:w="3075" w:type="dxa"/>
            <w:shd w:val="clear" w:color="auto" w:fill="auto"/>
            <w:tcMar>
              <w:top w:w="100" w:type="dxa"/>
              <w:left w:w="100" w:type="dxa"/>
              <w:bottom w:w="100" w:type="dxa"/>
              <w:right w:w="100" w:type="dxa"/>
            </w:tcMar>
          </w:tcPr>
          <w:p w14:paraId="5895F9A4" w14:textId="77777777" w:rsidR="00061C21" w:rsidRPr="00ED39CD" w:rsidRDefault="00061C21" w:rsidP="00E116C2">
            <w:pPr>
              <w:widowControl w:val="0"/>
              <w:spacing w:after="0" w:line="240" w:lineRule="auto"/>
              <w:jc w:val="left"/>
              <w:rPr>
                <w:lang w:val="en-US"/>
              </w:rPr>
            </w:pPr>
            <w:r w:rsidRPr="00ED39CD">
              <w:rPr>
                <w:lang w:val="en-US"/>
              </w:rPr>
              <w:t>B2B di Design to Business</w:t>
            </w:r>
          </w:p>
        </w:tc>
        <w:tc>
          <w:tcPr>
            <w:tcW w:w="3555" w:type="dxa"/>
            <w:shd w:val="clear" w:color="auto" w:fill="auto"/>
            <w:tcMar>
              <w:top w:w="100" w:type="dxa"/>
              <w:left w:w="100" w:type="dxa"/>
              <w:bottom w:w="100" w:type="dxa"/>
              <w:right w:w="100" w:type="dxa"/>
            </w:tcMar>
          </w:tcPr>
          <w:p w14:paraId="0C96DC20" w14:textId="77777777" w:rsidR="00061C21" w:rsidRDefault="00061C21" w:rsidP="00E116C2">
            <w:pPr>
              <w:widowControl w:val="0"/>
              <w:pBdr>
                <w:top w:val="nil"/>
                <w:left w:val="nil"/>
                <w:bottom w:val="nil"/>
                <w:right w:val="nil"/>
                <w:between w:val="nil"/>
              </w:pBdr>
              <w:spacing w:after="0" w:line="240" w:lineRule="auto"/>
              <w:jc w:val="left"/>
            </w:pPr>
            <w:r>
              <w:t>Solo incontrare i designer nei B2B</w:t>
            </w:r>
          </w:p>
        </w:tc>
        <w:tc>
          <w:tcPr>
            <w:tcW w:w="3090" w:type="dxa"/>
            <w:shd w:val="clear" w:color="auto" w:fill="auto"/>
            <w:tcMar>
              <w:top w:w="100" w:type="dxa"/>
              <w:left w:w="100" w:type="dxa"/>
              <w:bottom w:w="100" w:type="dxa"/>
              <w:right w:w="100" w:type="dxa"/>
            </w:tcMar>
          </w:tcPr>
          <w:p w14:paraId="12877F69" w14:textId="77777777" w:rsidR="00061C21" w:rsidRDefault="00061C21" w:rsidP="00E116C2">
            <w:pPr>
              <w:widowControl w:val="0"/>
              <w:pBdr>
                <w:top w:val="nil"/>
                <w:left w:val="nil"/>
                <w:bottom w:val="nil"/>
                <w:right w:val="nil"/>
                <w:between w:val="nil"/>
              </w:pBdr>
              <w:spacing w:after="0" w:line="240" w:lineRule="auto"/>
              <w:jc w:val="left"/>
            </w:pPr>
            <w:r>
              <w:t>Gratis</w:t>
            </w:r>
          </w:p>
        </w:tc>
      </w:tr>
    </w:tbl>
    <w:p w14:paraId="0329EEA9" w14:textId="77777777" w:rsidR="00061C21" w:rsidRDefault="00061C21" w:rsidP="00061C21">
      <w:pPr>
        <w:pBdr>
          <w:top w:val="nil"/>
          <w:left w:val="nil"/>
          <w:bottom w:val="nil"/>
          <w:right w:val="nil"/>
          <w:between w:val="nil"/>
        </w:pBdr>
        <w:spacing w:after="0" w:line="240" w:lineRule="auto"/>
      </w:pPr>
    </w:p>
    <w:p w14:paraId="7AB58A0E" w14:textId="77777777" w:rsidR="00061C21" w:rsidRDefault="00061C21" w:rsidP="00061C21">
      <w:pPr>
        <w:pBdr>
          <w:top w:val="nil"/>
          <w:left w:val="nil"/>
          <w:bottom w:val="nil"/>
          <w:right w:val="nil"/>
          <w:between w:val="nil"/>
        </w:pBdr>
        <w:spacing w:after="0" w:line="240" w:lineRule="auto"/>
      </w:pPr>
      <w:r>
        <w:t>Le aziende manifatturiere dovranno esprimere la propria scelta attraverso l’</w:t>
      </w:r>
      <w:r>
        <w:rPr>
          <w:b/>
        </w:rPr>
        <w:t>Allegato B</w:t>
      </w:r>
      <w:r>
        <w:t xml:space="preserve">. </w:t>
      </w:r>
    </w:p>
    <w:p w14:paraId="217E31ED" w14:textId="77777777" w:rsidR="00061C21" w:rsidRDefault="00061C21" w:rsidP="00061C21">
      <w:pPr>
        <w:pBdr>
          <w:top w:val="nil"/>
          <w:left w:val="nil"/>
          <w:bottom w:val="nil"/>
          <w:right w:val="nil"/>
          <w:between w:val="nil"/>
        </w:pBdr>
        <w:spacing w:after="0" w:line="240" w:lineRule="auto"/>
      </w:pPr>
    </w:p>
    <w:p w14:paraId="014E1ECD" w14:textId="77777777" w:rsidR="00061C21" w:rsidRDefault="00061C21" w:rsidP="00061C21">
      <w:pPr>
        <w:pBdr>
          <w:top w:val="nil"/>
          <w:left w:val="nil"/>
          <w:bottom w:val="nil"/>
          <w:right w:val="nil"/>
          <w:between w:val="nil"/>
        </w:pBdr>
        <w:spacing w:after="0" w:line="240" w:lineRule="auto"/>
      </w:pPr>
      <w:r>
        <w:t>All’allegato dovrà essere accluso un company profile descrittivo dell’azienda (in formato libero, file pdf., max 2 pagine), da cui sia possibile desumere l’inclinazione al design che l’impresa ha sviluppato nel corso della sua storia.</w:t>
      </w:r>
    </w:p>
    <w:p w14:paraId="2D005FD0" w14:textId="77777777" w:rsidR="00061C21" w:rsidRDefault="00061C21" w:rsidP="00061C21">
      <w:pPr>
        <w:pBdr>
          <w:top w:val="nil"/>
          <w:left w:val="nil"/>
          <w:bottom w:val="nil"/>
          <w:right w:val="nil"/>
          <w:between w:val="nil"/>
        </w:pBdr>
        <w:spacing w:after="0" w:line="240" w:lineRule="auto"/>
        <w:ind w:left="1080"/>
      </w:pPr>
    </w:p>
    <w:p w14:paraId="02687107" w14:textId="77777777" w:rsidR="00061C21" w:rsidRDefault="00061C21" w:rsidP="00061C21">
      <w:pPr>
        <w:pStyle w:val="Titolo2"/>
        <w:rPr>
          <w:color w:val="000000"/>
        </w:rPr>
      </w:pPr>
      <w:r>
        <w:rPr>
          <w:color w:val="000000"/>
        </w:rPr>
        <w:t>5 - Modalità e termini per la presentazione della candidatura</w:t>
      </w:r>
    </w:p>
    <w:p w14:paraId="7BC4DCF0" w14:textId="77777777" w:rsidR="00061C21" w:rsidRDefault="00061C21" w:rsidP="00061C21">
      <w:pPr>
        <w:pBdr>
          <w:top w:val="nil"/>
          <w:left w:val="nil"/>
          <w:bottom w:val="nil"/>
          <w:right w:val="nil"/>
          <w:between w:val="nil"/>
        </w:pBdr>
        <w:tabs>
          <w:tab w:val="center" w:pos="1418"/>
          <w:tab w:val="center" w:pos="5103"/>
          <w:tab w:val="center" w:pos="7938"/>
        </w:tabs>
        <w:spacing w:before="120" w:after="0" w:line="240" w:lineRule="auto"/>
        <w:ind w:right="142"/>
      </w:pPr>
      <w:r>
        <w:t>I candidati, siano essi designer o aziende manifatturiere, dovranno presentare la propria proposta - a pena di esclusione -</w:t>
      </w:r>
      <w:r>
        <w:rPr>
          <w:rFonts w:ascii="Times New Roman" w:eastAsia="Times New Roman" w:hAnsi="Times New Roman" w:cs="Times New Roman"/>
        </w:rPr>
        <w:t xml:space="preserve"> </w:t>
      </w:r>
      <w:r>
        <w:rPr>
          <w:b/>
        </w:rPr>
        <w:t>entro le ore 12:00 del giorno 23 agosto 2022</w:t>
      </w:r>
      <w:r>
        <w:t xml:space="preserve"> (farà fede la ricevuta del sistema PEC) - </w:t>
      </w:r>
      <w:r>
        <w:rPr>
          <w:b/>
        </w:rPr>
        <w:t>solo ed esclusivamente a mezzo Posta Elettronica Certificata (PEC)</w:t>
      </w:r>
      <w:r>
        <w:t xml:space="preserve">, inviando le domande di partecipazione all'indirizzo PEC </w:t>
      </w:r>
      <w:hyperlink r:id="rId11">
        <w:r>
          <w:rPr>
            <w:color w:val="1155CC"/>
            <w:highlight w:val="white"/>
            <w:u w:val="single"/>
          </w:rPr>
          <w:t>fiere.unioncamerepuglia@legalmail.it</w:t>
        </w:r>
      </w:hyperlink>
      <w:r>
        <w:rPr>
          <w:highlight w:val="white"/>
        </w:rPr>
        <w:t xml:space="preserve"> </w:t>
      </w:r>
    </w:p>
    <w:p w14:paraId="4A5CDF02" w14:textId="77777777" w:rsidR="00061C21" w:rsidRDefault="00061C21" w:rsidP="00061C21">
      <w:pPr>
        <w:spacing w:after="0" w:line="240" w:lineRule="auto"/>
      </w:pPr>
      <w:r>
        <w:t>L’oggetto della comunicazione PEC dovrà essere tassativamente "DESIGN IN FIERA 2022 - CANDIDATURA”.</w:t>
      </w:r>
    </w:p>
    <w:p w14:paraId="67E4339B" w14:textId="77777777" w:rsidR="00061C21" w:rsidRDefault="00061C21" w:rsidP="00061C21">
      <w:pPr>
        <w:spacing w:after="0" w:line="240" w:lineRule="auto"/>
      </w:pPr>
    </w:p>
    <w:p w14:paraId="389CA005" w14:textId="77777777" w:rsidR="00061C21" w:rsidRDefault="00061C21" w:rsidP="00061C21">
      <w:pPr>
        <w:spacing w:after="0" w:line="240" w:lineRule="auto"/>
        <w:rPr>
          <w:b/>
        </w:rPr>
      </w:pPr>
      <w:r>
        <w:rPr>
          <w:b/>
        </w:rPr>
        <w:t>La candidatura dovrà contenere:</w:t>
      </w:r>
    </w:p>
    <w:p w14:paraId="6BB3AA11" w14:textId="77777777" w:rsidR="00061C21" w:rsidRDefault="00061C21" w:rsidP="00061C21">
      <w:pPr>
        <w:numPr>
          <w:ilvl w:val="0"/>
          <w:numId w:val="4"/>
        </w:numPr>
        <w:pBdr>
          <w:top w:val="nil"/>
          <w:left w:val="nil"/>
          <w:bottom w:val="nil"/>
          <w:right w:val="nil"/>
          <w:between w:val="nil"/>
        </w:pBdr>
        <w:spacing w:after="0" w:line="240" w:lineRule="auto"/>
      </w:pPr>
      <w:r>
        <w:t>l’allegato A o B, debitamente compilato e firmato dal proponente (persona fisica se il proponente è un professionista, Legale Rappresentante dell’impresa se il proponente è una azienda);</w:t>
      </w:r>
    </w:p>
    <w:p w14:paraId="66904E9A" w14:textId="77777777" w:rsidR="00061C21" w:rsidRDefault="00061C21" w:rsidP="00061C21">
      <w:pPr>
        <w:numPr>
          <w:ilvl w:val="0"/>
          <w:numId w:val="4"/>
        </w:numPr>
        <w:pBdr>
          <w:top w:val="nil"/>
          <w:left w:val="nil"/>
          <w:bottom w:val="nil"/>
          <w:right w:val="nil"/>
          <w:between w:val="nil"/>
        </w:pBdr>
        <w:spacing w:after="0" w:line="240" w:lineRule="auto"/>
      </w:pPr>
      <w:r>
        <w:t xml:space="preserve">un documento di identità in corso di validità del proponente </w:t>
      </w:r>
      <w:r w:rsidRPr="00086A98">
        <w:t>(persona fisica se il proponente è un professionista, Legale Rappresentante dell’impresa se il proponente è una azienda);</w:t>
      </w:r>
    </w:p>
    <w:p w14:paraId="492450AC" w14:textId="77777777" w:rsidR="00061C21" w:rsidRDefault="00061C21" w:rsidP="00061C21">
      <w:pPr>
        <w:numPr>
          <w:ilvl w:val="0"/>
          <w:numId w:val="4"/>
        </w:numPr>
        <w:pBdr>
          <w:top w:val="nil"/>
          <w:left w:val="nil"/>
          <w:bottom w:val="nil"/>
          <w:right w:val="nil"/>
          <w:between w:val="nil"/>
        </w:pBdr>
        <w:spacing w:after="0" w:line="240" w:lineRule="auto"/>
      </w:pPr>
      <w:r>
        <w:t>gli eventuali ulteriori documenti a corredo per i designer (paragrafo 4a) e per le imprese manifatturiere (paragrafo 4b).</w:t>
      </w:r>
    </w:p>
    <w:p w14:paraId="1137B173" w14:textId="77777777" w:rsidR="00061C21" w:rsidRDefault="00061C21" w:rsidP="00061C21">
      <w:pPr>
        <w:spacing w:after="0" w:line="240" w:lineRule="auto"/>
        <w:jc w:val="left"/>
      </w:pPr>
    </w:p>
    <w:p w14:paraId="209F4FE3" w14:textId="77777777" w:rsidR="00061C21" w:rsidRDefault="00061C21" w:rsidP="00061C21">
      <w:pPr>
        <w:spacing w:after="0" w:line="240" w:lineRule="auto"/>
        <w:jc w:val="left"/>
        <w:rPr>
          <w:b/>
        </w:rPr>
      </w:pPr>
      <w:r>
        <w:rPr>
          <w:b/>
        </w:rPr>
        <w:t xml:space="preserve">È esclusa qualsiasi altra modalità d’invio, pena l’inammissibilità della domanda. </w:t>
      </w:r>
    </w:p>
    <w:p w14:paraId="1AC87968" w14:textId="77777777" w:rsidR="00061C21" w:rsidRDefault="00061C21" w:rsidP="00061C21">
      <w:pPr>
        <w:spacing w:after="0" w:line="240" w:lineRule="auto"/>
      </w:pPr>
      <w:r>
        <w:lastRenderedPageBreak/>
        <w:t>Le domande incomplete o prive dei campi obbligatori, nonché degli allegati richiesti saranno dichiarate non ricevibili, e pertanto saranno escluse dalla valutazione.</w:t>
      </w:r>
    </w:p>
    <w:p w14:paraId="17E63844" w14:textId="77777777" w:rsidR="00061C21" w:rsidRDefault="00061C21" w:rsidP="00061C21">
      <w:pPr>
        <w:spacing w:after="0" w:line="240" w:lineRule="auto"/>
      </w:pPr>
    </w:p>
    <w:p w14:paraId="760945FE" w14:textId="77777777" w:rsidR="00061C21" w:rsidRDefault="00061C21" w:rsidP="00061C21">
      <w:pPr>
        <w:pStyle w:val="Titolo2"/>
      </w:pPr>
      <w:r>
        <w:rPr>
          <w:color w:val="000000"/>
        </w:rPr>
        <w:t>6 - Commissione Esaminatrice e proclamazione degli ammessi a Design to Business e ManiFuture</w:t>
      </w:r>
    </w:p>
    <w:p w14:paraId="5CCF1171" w14:textId="77777777" w:rsidR="00061C21" w:rsidRDefault="00061C21" w:rsidP="00061C21">
      <w:pPr>
        <w:spacing w:line="264" w:lineRule="auto"/>
      </w:pPr>
      <w:r w:rsidRPr="00776A81">
        <w:rPr>
          <w:u w:val="single"/>
        </w:rPr>
        <w:t>ManiFuture</w:t>
      </w:r>
      <w:r>
        <w:t xml:space="preserve"> prevede in totale moduli espositivi di 10-12 mq cadauno, da assegnare fino a esaurimento degli spazi previsti nel padiglione 110 della Fiera del Levante.</w:t>
      </w:r>
    </w:p>
    <w:p w14:paraId="0EDCF2BF" w14:textId="77777777" w:rsidR="00061C21" w:rsidRDefault="00061C21" w:rsidP="00061C21">
      <w:pPr>
        <w:spacing w:line="264" w:lineRule="auto"/>
      </w:pPr>
      <w:r w:rsidRPr="00776A81">
        <w:rPr>
          <w:u w:val="single"/>
        </w:rPr>
        <w:t>Design to Business</w:t>
      </w:r>
      <w:r>
        <w:t xml:space="preserve"> invece prevede una mostra con 25 designer; questi ultimi, nel momento dei B2B, incontreranno 25 aziende manifatturiere.</w:t>
      </w:r>
    </w:p>
    <w:p w14:paraId="4D5942EE" w14:textId="77777777" w:rsidR="00061C21" w:rsidRDefault="00061C21" w:rsidP="00061C21">
      <w:pPr>
        <w:spacing w:line="264" w:lineRule="auto"/>
      </w:pPr>
      <w:r>
        <w:t>Tutto ciò premesso e considerato, ne consegue che sia i posti disponibili per ManiFuture che per Design to Business dovranno essere assegnati dopo un’</w:t>
      </w:r>
      <w:r w:rsidRPr="00776A81">
        <w:rPr>
          <w:u w:val="single"/>
        </w:rPr>
        <w:t>apposita valutazione</w:t>
      </w:r>
      <w:r>
        <w:t>.</w:t>
      </w:r>
    </w:p>
    <w:p w14:paraId="7469917B" w14:textId="77777777" w:rsidR="00061C21" w:rsidRDefault="00061C21" w:rsidP="00061C21">
      <w:pPr>
        <w:spacing w:line="264" w:lineRule="auto"/>
        <w:rPr>
          <w:highlight w:val="white"/>
        </w:rPr>
      </w:pPr>
      <w:r>
        <w:t>Pertanto, successivamente al superamento dell’istruttoria amministrativa da parte dell’ufficio competente - che verificherà preliminarmente l’ammissibilità delle domande ricevute sulla base dei requisiti formali richiesti dal bando - si procederà alla selezione delle idee progettuali che con procedura valutativa a graduatoria, sulla base dei documenti a corredo allegati dai proponenti, descritti nei paragrafi 4a) e 4b), ad insindacabile giudizio di una</w:t>
      </w:r>
      <w:r>
        <w:rPr>
          <w:highlight w:val="white"/>
        </w:rPr>
        <w:t xml:space="preserve"> Commissione </w:t>
      </w:r>
      <w:r>
        <w:t>di 3 esperti, i cui componenti sono designati dal Segretario Generale di Unioncamere Puglia sulla base delle convenzioni stipulate tra le Part</w:t>
      </w:r>
      <w:r>
        <w:rPr>
          <w:highlight w:val="white"/>
        </w:rPr>
        <w:t>i (Unioncamere Puglia - Regione Puglia Per DtoB; Unioncamere Puglia, Adi Puglia e Basilicata - Nuova Fiera del Levante per “ManiFuture”).</w:t>
      </w:r>
    </w:p>
    <w:p w14:paraId="10FF008A" w14:textId="77777777" w:rsidR="00061C21" w:rsidRDefault="00061C21" w:rsidP="00061C21">
      <w:pPr>
        <w:pStyle w:val="Titolo2"/>
        <w:rPr>
          <w:color w:val="000000"/>
        </w:rPr>
      </w:pPr>
      <w:r>
        <w:rPr>
          <w:color w:val="000000"/>
        </w:rPr>
        <w:br/>
        <w:t xml:space="preserve">7 - Criteri di valutazione </w:t>
      </w:r>
    </w:p>
    <w:p w14:paraId="21C4747E" w14:textId="77777777" w:rsidR="00061C21" w:rsidRDefault="00061C21" w:rsidP="00061C21">
      <w:pPr>
        <w:spacing w:line="240" w:lineRule="auto"/>
      </w:pPr>
      <w:r>
        <w:t>Le proposte pervenute dai designer e dalle aziende manifatturiere saranno valutate sulla base dei seguenti criteri:</w:t>
      </w:r>
    </w:p>
    <w:p w14:paraId="08B5CEC2" w14:textId="77777777" w:rsidR="00061C21" w:rsidRDefault="00061C21" w:rsidP="00061C21">
      <w:pPr>
        <w:numPr>
          <w:ilvl w:val="0"/>
          <w:numId w:val="11"/>
        </w:numPr>
        <w:spacing w:after="0" w:line="240" w:lineRule="auto"/>
      </w:pPr>
      <w:r>
        <w:t xml:space="preserve">per i designer, ai fini della partecipazione a Design to Business: </w:t>
      </w:r>
    </w:p>
    <w:p w14:paraId="41C998CE" w14:textId="77777777" w:rsidR="00061C21" w:rsidRDefault="00061C21" w:rsidP="00061C21">
      <w:pPr>
        <w:numPr>
          <w:ilvl w:val="1"/>
          <w:numId w:val="11"/>
        </w:numPr>
        <w:spacing w:after="0" w:line="240" w:lineRule="auto"/>
      </w:pPr>
      <w:r>
        <w:t>inclinazione al design e all’innovazione (desunta dal company profile descrittivo dell’azienda o curriculum vitae del designer); max 30 punti</w:t>
      </w:r>
    </w:p>
    <w:p w14:paraId="6DF7F6BE" w14:textId="77777777" w:rsidR="00061C21" w:rsidRDefault="00061C21" w:rsidP="00061C21">
      <w:pPr>
        <w:numPr>
          <w:ilvl w:val="1"/>
          <w:numId w:val="11"/>
        </w:numPr>
        <w:spacing w:after="0" w:line="240" w:lineRule="auto"/>
      </w:pPr>
      <w:r>
        <w:t>qualità del portfolio visuale dell’azienda o del designer; max 30 punti</w:t>
      </w:r>
    </w:p>
    <w:p w14:paraId="5CC1C40B" w14:textId="77777777" w:rsidR="00061C21" w:rsidRDefault="00061C21" w:rsidP="00061C21">
      <w:pPr>
        <w:numPr>
          <w:ilvl w:val="1"/>
          <w:numId w:val="11"/>
        </w:numPr>
        <w:spacing w:after="0" w:line="240" w:lineRule="auto"/>
      </w:pPr>
      <w:r>
        <w:t>efficacia e sinteticità del concept sintetico dell’oggetto da esporre; max 10 punti</w:t>
      </w:r>
    </w:p>
    <w:p w14:paraId="108ABEED" w14:textId="77777777" w:rsidR="00061C21" w:rsidRDefault="00061C21" w:rsidP="00061C21">
      <w:pPr>
        <w:numPr>
          <w:ilvl w:val="1"/>
          <w:numId w:val="11"/>
        </w:numPr>
        <w:spacing w:after="0" w:line="240" w:lineRule="auto"/>
      </w:pPr>
      <w:r>
        <w:t>iconicità e originalità dell’oggetto da esporre (desunta dalle fotografie allegate; min. 1, max 3); max 30 punti.</w:t>
      </w:r>
    </w:p>
    <w:p w14:paraId="35CB5746" w14:textId="77777777" w:rsidR="00061C21" w:rsidRDefault="00061C21" w:rsidP="00061C21">
      <w:pPr>
        <w:numPr>
          <w:ilvl w:val="0"/>
          <w:numId w:val="11"/>
        </w:numPr>
        <w:pBdr>
          <w:top w:val="nil"/>
          <w:left w:val="nil"/>
          <w:bottom w:val="nil"/>
          <w:right w:val="nil"/>
          <w:between w:val="nil"/>
        </w:pBdr>
        <w:spacing w:after="0" w:line="240" w:lineRule="auto"/>
      </w:pPr>
      <w:r>
        <w:t>per le aziende manifatturiere, ai fini della partecipazione a ManiFuture:</w:t>
      </w:r>
    </w:p>
    <w:p w14:paraId="54DFF5B7" w14:textId="77777777" w:rsidR="00061C21" w:rsidRDefault="00061C21" w:rsidP="00061C21">
      <w:pPr>
        <w:numPr>
          <w:ilvl w:val="1"/>
          <w:numId w:val="11"/>
        </w:numPr>
        <w:pBdr>
          <w:top w:val="nil"/>
          <w:left w:val="nil"/>
          <w:bottom w:val="nil"/>
          <w:right w:val="nil"/>
          <w:between w:val="nil"/>
        </w:pBdr>
        <w:spacing w:after="0" w:line="240" w:lineRule="auto"/>
      </w:pPr>
      <w:r>
        <w:t>ordine cronologico di arrivo delle domande, fino ad esaurimento degli spazi disponibili;</w:t>
      </w:r>
    </w:p>
    <w:p w14:paraId="2EE24CCA" w14:textId="77777777" w:rsidR="00061C21" w:rsidRDefault="00061C21" w:rsidP="00061C21">
      <w:pPr>
        <w:numPr>
          <w:ilvl w:val="0"/>
          <w:numId w:val="11"/>
        </w:numPr>
        <w:pBdr>
          <w:top w:val="nil"/>
          <w:left w:val="nil"/>
          <w:bottom w:val="nil"/>
          <w:right w:val="nil"/>
          <w:between w:val="nil"/>
        </w:pBdr>
        <w:spacing w:after="0" w:line="240" w:lineRule="auto"/>
      </w:pPr>
      <w:r>
        <w:t>per le aziende manifatturiere, ai fini della partecipazione ai B2B di Design to Business:</w:t>
      </w:r>
    </w:p>
    <w:p w14:paraId="3AA8BD05" w14:textId="77777777" w:rsidR="00061C21" w:rsidRDefault="00061C21" w:rsidP="00061C21">
      <w:pPr>
        <w:numPr>
          <w:ilvl w:val="1"/>
          <w:numId w:val="11"/>
        </w:numPr>
        <w:spacing w:after="0" w:line="240" w:lineRule="auto"/>
      </w:pPr>
      <w:r>
        <w:t>inclinazione al design dell’impresa (desunta dal company profile descrittivo dell’azienda); 40 punti</w:t>
      </w:r>
    </w:p>
    <w:p w14:paraId="76684846" w14:textId="77777777" w:rsidR="00061C21" w:rsidRDefault="00061C21" w:rsidP="00061C21">
      <w:pPr>
        <w:numPr>
          <w:ilvl w:val="1"/>
          <w:numId w:val="11"/>
        </w:numPr>
        <w:spacing w:after="0" w:line="240" w:lineRule="auto"/>
      </w:pPr>
      <w:r>
        <w:t>importanza economica, capacità produttiva e proiezione internazionale dell’azienda (desunta dal company profile descrittivo dell’azienda); 30 punti</w:t>
      </w:r>
    </w:p>
    <w:p w14:paraId="19A98F02" w14:textId="77777777" w:rsidR="00061C21" w:rsidRDefault="00061C21" w:rsidP="00061C21">
      <w:pPr>
        <w:numPr>
          <w:ilvl w:val="1"/>
          <w:numId w:val="11"/>
        </w:numPr>
        <w:spacing w:line="240" w:lineRule="auto"/>
      </w:pPr>
      <w:r>
        <w:t>partecipazione a ManiFuture + B2B di Design to Business (entrambe: 30 punti; solo B2B di Design to Business: 10 punti)</w:t>
      </w:r>
    </w:p>
    <w:p w14:paraId="18DFF0A8" w14:textId="77777777" w:rsidR="00061C21" w:rsidRDefault="00061C21" w:rsidP="00061C21">
      <w:pPr>
        <w:spacing w:after="0" w:line="240" w:lineRule="auto"/>
      </w:pPr>
    </w:p>
    <w:p w14:paraId="622027F5" w14:textId="77777777" w:rsidR="00061C21" w:rsidRDefault="00061C21" w:rsidP="00061C21">
      <w:pPr>
        <w:pStyle w:val="Titolo2"/>
        <w:rPr>
          <w:color w:val="000000"/>
        </w:rPr>
      </w:pPr>
      <w:r>
        <w:rPr>
          <w:color w:val="000000"/>
        </w:rPr>
        <w:t>8 - Responsabile del procedimento e richiesta di informazioni</w:t>
      </w:r>
    </w:p>
    <w:p w14:paraId="06A9D46C" w14:textId="77777777" w:rsidR="00061C21" w:rsidRDefault="00061C21" w:rsidP="00061C21">
      <w:pPr>
        <w:spacing w:after="0" w:line="240" w:lineRule="auto"/>
      </w:pPr>
      <w:r>
        <w:t xml:space="preserve">Il Responsabile del Procedimento è il Segretario Generale di Unioncamere Puglia. </w:t>
      </w:r>
    </w:p>
    <w:p w14:paraId="3C46F4B9" w14:textId="77777777" w:rsidR="00061C21" w:rsidRDefault="00061C21" w:rsidP="00061C21">
      <w:pPr>
        <w:spacing w:after="0" w:line="240" w:lineRule="auto"/>
      </w:pPr>
    </w:p>
    <w:p w14:paraId="09272D9C" w14:textId="77777777" w:rsidR="00C00B3F" w:rsidRDefault="00061C21" w:rsidP="00061C21">
      <w:pPr>
        <w:pStyle w:val="Titolo1"/>
        <w:spacing w:line="240" w:lineRule="auto"/>
        <w:jc w:val="center"/>
      </w:pPr>
      <w:r>
        <w:t xml:space="preserve">Per qualsiasi informazione sul bando è possibile inviare una richiesta scritta via e-mail all’indirizzo </w:t>
      </w:r>
      <w:hyperlink r:id="rId12" w:history="1">
        <w:r w:rsidRPr="00191B1E">
          <w:rPr>
            <w:rStyle w:val="Collegamentoipertestuale"/>
          </w:rPr>
          <w:t>direzione@unioncamerepuglia.it</w:t>
        </w:r>
      </w:hyperlink>
    </w:p>
    <w:p w14:paraId="3F0D6954" w14:textId="77777777" w:rsidR="00291292" w:rsidRDefault="00291292" w:rsidP="00291292"/>
    <w:p w14:paraId="008E8314" w14:textId="77777777" w:rsidR="00291292" w:rsidRDefault="00291292" w:rsidP="00291292">
      <w:pPr>
        <w:jc w:val="center"/>
      </w:pPr>
      <w:r w:rsidRPr="00291292">
        <w:t>UNIONCAMERE PUGLIA</w:t>
      </w:r>
    </w:p>
    <w:p w14:paraId="76473548" w14:textId="77777777" w:rsidR="00291292" w:rsidRDefault="00291292" w:rsidP="00291292">
      <w:pPr>
        <w:jc w:val="center"/>
      </w:pPr>
      <w:r w:rsidRPr="00291292">
        <w:t xml:space="preserve">Via E. Mola 19, 70121 – Bari </w:t>
      </w:r>
    </w:p>
    <w:p w14:paraId="24D41301" w14:textId="77777777" w:rsidR="00291292" w:rsidRPr="00DB66D2" w:rsidRDefault="00291292" w:rsidP="00291292">
      <w:pPr>
        <w:jc w:val="center"/>
        <w:rPr>
          <w:lang w:val="en-US"/>
        </w:rPr>
      </w:pPr>
      <w:r w:rsidRPr="00DB66D2">
        <w:rPr>
          <w:lang w:val="en-US"/>
        </w:rPr>
        <w:t xml:space="preserve">PEC: unioncamerepuglia@legalmail.it </w:t>
      </w:r>
    </w:p>
    <w:p w14:paraId="76E9D883" w14:textId="77777777" w:rsidR="00291292" w:rsidRPr="00DB66D2" w:rsidRDefault="00291292" w:rsidP="00291292">
      <w:pPr>
        <w:jc w:val="center"/>
        <w:rPr>
          <w:lang w:val="en-US"/>
        </w:rPr>
      </w:pPr>
      <w:r w:rsidRPr="00DB66D2">
        <w:rPr>
          <w:lang w:val="en-US"/>
        </w:rPr>
        <w:t>P.I. 04474350727</w:t>
      </w:r>
    </w:p>
    <w:sectPr w:rsidR="00291292" w:rsidRPr="00DB66D2" w:rsidSect="00061C21">
      <w:headerReference w:type="default" r:id="rId13"/>
      <w:footerReference w:type="default" r:id="rId14"/>
      <w:pgSz w:w="11906" w:h="16838"/>
      <w:pgMar w:top="1440" w:right="849" w:bottom="1134" w:left="1440" w:header="142"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A7676" w14:textId="77777777" w:rsidR="00F67B09" w:rsidRDefault="00F67B09">
      <w:pPr>
        <w:spacing w:after="0" w:line="240" w:lineRule="auto"/>
      </w:pPr>
      <w:r>
        <w:separator/>
      </w:r>
    </w:p>
  </w:endnote>
  <w:endnote w:type="continuationSeparator" w:id="0">
    <w:p w14:paraId="3EF2C034" w14:textId="77777777" w:rsidR="00F67B09" w:rsidRDefault="00F67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122144"/>
      <w:docPartObj>
        <w:docPartGallery w:val="Page Numbers (Bottom of Page)"/>
        <w:docPartUnique/>
      </w:docPartObj>
    </w:sdtPr>
    <w:sdtContent>
      <w:p w14:paraId="1981904D" w14:textId="77777777" w:rsidR="00061C21" w:rsidRDefault="00000000">
        <w:pPr>
          <w:pStyle w:val="Pidipagina"/>
          <w:jc w:val="right"/>
        </w:pPr>
        <w:r>
          <w:fldChar w:fldCharType="begin"/>
        </w:r>
        <w:r>
          <w:instrText xml:space="preserve"> PAGE   \* MERGEFORMAT </w:instrText>
        </w:r>
        <w:r>
          <w:fldChar w:fldCharType="separate"/>
        </w:r>
        <w:r w:rsidR="00A85901">
          <w:rPr>
            <w:noProof/>
          </w:rPr>
          <w:t>7</w:t>
        </w:r>
        <w:r>
          <w:rPr>
            <w:noProof/>
          </w:rPr>
          <w:fldChar w:fldCharType="end"/>
        </w:r>
      </w:p>
    </w:sdtContent>
  </w:sdt>
  <w:p w14:paraId="1A899E89" w14:textId="77777777" w:rsidR="00244469" w:rsidRDefault="00244469">
    <w:pPr>
      <w:widowControl w:val="0"/>
      <w:pBdr>
        <w:top w:val="nil"/>
        <w:left w:val="nil"/>
        <w:bottom w:val="nil"/>
        <w:right w:val="nil"/>
        <w:between w:val="nil"/>
      </w:pBdr>
      <w:spacing w:after="0" w:line="276" w:lineRule="auto"/>
      <w:jc w:val="left"/>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EDD49" w14:textId="77777777" w:rsidR="00F67B09" w:rsidRDefault="00F67B09">
      <w:pPr>
        <w:spacing w:after="0" w:line="240" w:lineRule="auto"/>
      </w:pPr>
      <w:r>
        <w:separator/>
      </w:r>
    </w:p>
  </w:footnote>
  <w:footnote w:type="continuationSeparator" w:id="0">
    <w:p w14:paraId="0E3F05B8" w14:textId="77777777" w:rsidR="00F67B09" w:rsidRDefault="00F67B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52AF0" w14:textId="77777777" w:rsidR="00244469" w:rsidRDefault="00C00B3F">
    <w:pPr>
      <w:spacing w:after="0" w:line="240" w:lineRule="auto"/>
      <w:jc w:val="center"/>
      <w:rPr>
        <w:sz w:val="2"/>
        <w:szCs w:val="2"/>
      </w:rPr>
    </w:pPr>
    <w:r>
      <w:rPr>
        <w:noProof/>
        <w:sz w:val="2"/>
        <w:szCs w:val="2"/>
      </w:rPr>
      <w:drawing>
        <wp:anchor distT="0" distB="0" distL="114300" distR="114300" simplePos="0" relativeHeight="251659264" behindDoc="0" locked="0" layoutInCell="1" allowOverlap="1" wp14:anchorId="3B1F4514" wp14:editId="39A9DEB7">
          <wp:simplePos x="0" y="0"/>
          <wp:positionH relativeFrom="column">
            <wp:posOffset>342900</wp:posOffset>
          </wp:positionH>
          <wp:positionV relativeFrom="paragraph">
            <wp:posOffset>-464820</wp:posOffset>
          </wp:positionV>
          <wp:extent cx="3797300" cy="1231900"/>
          <wp:effectExtent l="0" t="0" r="0" b="0"/>
          <wp:wrapNone/>
          <wp:docPr id="1" name="Immagine 1" descr="C:\Users\Utente\Downloads\stringa loghi comunitari completa ENG (1000 x 500 px)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ownloads\stringa loghi comunitari completa ENG (1000 x 500 px) (1).png"/>
                  <pic:cNvPicPr>
                    <a:picLocks noChangeAspect="1" noChangeArrowheads="1"/>
                  </pic:cNvPicPr>
                </pic:nvPicPr>
                <pic:blipFill>
                  <a:blip r:embed="rId1"/>
                  <a:srcRect b="35117"/>
                  <a:stretch>
                    <a:fillRect/>
                  </a:stretch>
                </pic:blipFill>
                <pic:spPr bwMode="auto">
                  <a:xfrm>
                    <a:off x="0" y="0"/>
                    <a:ext cx="3797300" cy="1231900"/>
                  </a:xfrm>
                  <a:prstGeom prst="rect">
                    <a:avLst/>
                  </a:prstGeom>
                  <a:noFill/>
                  <a:ln w="9525">
                    <a:noFill/>
                    <a:miter lim="800000"/>
                    <a:headEnd/>
                    <a:tailEnd/>
                  </a:ln>
                </pic:spPr>
              </pic:pic>
            </a:graphicData>
          </a:graphic>
        </wp:anchor>
      </w:drawing>
    </w:r>
  </w:p>
  <w:p w14:paraId="121D11FB" w14:textId="77777777" w:rsidR="00244469" w:rsidRDefault="00244469">
    <w:pPr>
      <w:spacing w:after="0" w:line="240" w:lineRule="auto"/>
      <w:jc w:val="center"/>
      <w:rPr>
        <w:sz w:val="2"/>
        <w:szCs w:val="2"/>
      </w:rPr>
    </w:pPr>
  </w:p>
  <w:p w14:paraId="00478708" w14:textId="77777777" w:rsidR="00244469" w:rsidRDefault="00244469">
    <w:pPr>
      <w:spacing w:after="0" w:line="240" w:lineRule="auto"/>
      <w:jc w:val="center"/>
      <w:rPr>
        <w:sz w:val="2"/>
        <w:szCs w:val="2"/>
      </w:rPr>
    </w:pPr>
  </w:p>
  <w:p w14:paraId="5313DDE6" w14:textId="77777777" w:rsidR="00244469" w:rsidRDefault="00244469">
    <w:pPr>
      <w:spacing w:after="0" w:line="240" w:lineRule="auto"/>
      <w:jc w:val="center"/>
      <w:rPr>
        <w:sz w:val="2"/>
        <w:szCs w:val="2"/>
      </w:rPr>
    </w:pPr>
  </w:p>
  <w:p w14:paraId="3C34AFE6" w14:textId="77777777" w:rsidR="00244469" w:rsidRDefault="00244469">
    <w:pPr>
      <w:spacing w:after="0" w:line="240" w:lineRule="auto"/>
      <w:jc w:val="center"/>
      <w:rPr>
        <w:sz w:val="2"/>
        <w:szCs w:val="2"/>
      </w:rPr>
    </w:pPr>
  </w:p>
  <w:p w14:paraId="4C4CEFA2" w14:textId="77777777" w:rsidR="00244469" w:rsidRDefault="00244469">
    <w:pPr>
      <w:tabs>
        <w:tab w:val="center" w:pos="4808"/>
        <w:tab w:val="left" w:pos="7260"/>
      </w:tabs>
      <w:spacing w:after="0" w:line="240" w:lineRule="auto"/>
      <w:jc w:val="left"/>
      <w:rPr>
        <w:sz w:val="2"/>
        <w:szCs w:val="2"/>
      </w:rPr>
    </w:pPr>
  </w:p>
  <w:p w14:paraId="3E91F4F7" w14:textId="77777777" w:rsidR="00244469" w:rsidRDefault="00244469">
    <w:pPr>
      <w:tabs>
        <w:tab w:val="center" w:pos="4808"/>
        <w:tab w:val="left" w:pos="7260"/>
      </w:tabs>
      <w:spacing w:after="0" w:line="240" w:lineRule="auto"/>
      <w:jc w:val="left"/>
      <w:rPr>
        <w:sz w:val="2"/>
        <w:szCs w:val="2"/>
      </w:rPr>
    </w:pPr>
  </w:p>
  <w:p w14:paraId="006F7CC7" w14:textId="77777777" w:rsidR="00244469" w:rsidRDefault="00244469">
    <w:pPr>
      <w:tabs>
        <w:tab w:val="center" w:pos="4808"/>
        <w:tab w:val="left" w:pos="7260"/>
      </w:tabs>
      <w:spacing w:after="0" w:line="240" w:lineRule="auto"/>
      <w:jc w:val="left"/>
      <w:rPr>
        <w:sz w:val="2"/>
        <w:szCs w:val="2"/>
      </w:rPr>
    </w:pPr>
  </w:p>
  <w:p w14:paraId="501297FD" w14:textId="77777777" w:rsidR="00244469" w:rsidRDefault="00244469">
    <w:pPr>
      <w:tabs>
        <w:tab w:val="center" w:pos="4808"/>
        <w:tab w:val="left" w:pos="7260"/>
      </w:tabs>
      <w:spacing w:after="0" w:line="240" w:lineRule="auto"/>
      <w:jc w:val="left"/>
      <w:rPr>
        <w:sz w:val="2"/>
        <w:szCs w:val="2"/>
      </w:rPr>
    </w:pPr>
  </w:p>
  <w:p w14:paraId="745D9981" w14:textId="77777777" w:rsidR="00244469" w:rsidRDefault="00244469">
    <w:pPr>
      <w:tabs>
        <w:tab w:val="center" w:pos="4808"/>
        <w:tab w:val="left" w:pos="7260"/>
      </w:tabs>
      <w:spacing w:after="0" w:line="240" w:lineRule="auto"/>
      <w:jc w:val="left"/>
      <w:rPr>
        <w:sz w:val="2"/>
        <w:szCs w:val="2"/>
      </w:rPr>
    </w:pPr>
  </w:p>
  <w:p w14:paraId="45D6D1F0" w14:textId="77777777" w:rsidR="00244469" w:rsidRDefault="00061C21">
    <w:pPr>
      <w:tabs>
        <w:tab w:val="center" w:pos="4808"/>
        <w:tab w:val="left" w:pos="7260"/>
      </w:tabs>
      <w:spacing w:after="0" w:line="240" w:lineRule="auto"/>
      <w:jc w:val="left"/>
      <w:rPr>
        <w:sz w:val="2"/>
        <w:szCs w:val="2"/>
      </w:rPr>
    </w:pPr>
    <w:r>
      <w:rPr>
        <w:noProof/>
        <w:sz w:val="2"/>
        <w:szCs w:val="2"/>
      </w:rPr>
      <w:drawing>
        <wp:anchor distT="0" distB="0" distL="114300" distR="114300" simplePos="0" relativeHeight="251658240" behindDoc="0" locked="0" layoutInCell="1" allowOverlap="1" wp14:anchorId="44D1F323" wp14:editId="45696BB1">
          <wp:simplePos x="0" y="0"/>
          <wp:positionH relativeFrom="column">
            <wp:posOffset>4152900</wp:posOffset>
          </wp:positionH>
          <wp:positionV relativeFrom="paragraph">
            <wp:posOffset>40640</wp:posOffset>
          </wp:positionV>
          <wp:extent cx="1079500" cy="406400"/>
          <wp:effectExtent l="19050" t="0" r="6350" b="0"/>
          <wp:wrapNone/>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079500" cy="406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15295"/>
    <w:multiLevelType w:val="multilevel"/>
    <w:tmpl w:val="E75680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4D39C8"/>
    <w:multiLevelType w:val="multilevel"/>
    <w:tmpl w:val="C88E6E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F973F9"/>
    <w:multiLevelType w:val="multilevel"/>
    <w:tmpl w:val="B0461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582FF1"/>
    <w:multiLevelType w:val="multilevel"/>
    <w:tmpl w:val="CD5E1020"/>
    <w:lvl w:ilvl="0">
      <w:start w:val="1"/>
      <w:numFmt w:val="lowerLetter"/>
      <w:lvlText w:val="%1)"/>
      <w:lvlJc w:val="left"/>
      <w:pPr>
        <w:ind w:left="1080" w:hanging="360"/>
      </w:pPr>
    </w:lvl>
    <w:lvl w:ilvl="1">
      <w:start w:val="1"/>
      <w:numFmt w:val="bullet"/>
      <w:lvlText w:val="o"/>
      <w:lvlJc w:val="left"/>
      <w:pPr>
        <w:ind w:left="1800" w:hanging="360"/>
      </w:pPr>
      <w:rPr>
        <w:rFonts w:ascii="Courier New" w:eastAsia="Courier New" w:hAnsi="Courier New" w:cs="Courier New"/>
      </w:rPr>
    </w:lvl>
    <w:lvl w:ilvl="2">
      <w:start w:val="79"/>
      <w:numFmt w:val="bullet"/>
      <w:lvlText w:val="•"/>
      <w:lvlJc w:val="left"/>
      <w:pPr>
        <w:ind w:left="2520" w:hanging="360"/>
      </w:pPr>
      <w:rPr>
        <w:rFonts w:ascii="Calibri" w:eastAsia="Calibri" w:hAnsi="Calibri" w:cs="Calibri"/>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26BD521D"/>
    <w:multiLevelType w:val="multilevel"/>
    <w:tmpl w:val="EE9A4A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A820A0C"/>
    <w:multiLevelType w:val="multilevel"/>
    <w:tmpl w:val="44C6CC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7635AD"/>
    <w:multiLevelType w:val="multilevel"/>
    <w:tmpl w:val="D6643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1D15389"/>
    <w:multiLevelType w:val="multilevel"/>
    <w:tmpl w:val="0E2271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27E241C"/>
    <w:multiLevelType w:val="multilevel"/>
    <w:tmpl w:val="D876C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E903E82"/>
    <w:multiLevelType w:val="multilevel"/>
    <w:tmpl w:val="6ADACE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02A34A5"/>
    <w:multiLevelType w:val="multilevel"/>
    <w:tmpl w:val="CDACE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1B13127"/>
    <w:multiLevelType w:val="multilevel"/>
    <w:tmpl w:val="C554C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35B1A41"/>
    <w:multiLevelType w:val="multilevel"/>
    <w:tmpl w:val="EA068A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AF242C9"/>
    <w:multiLevelType w:val="multilevel"/>
    <w:tmpl w:val="A0625C4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6B474520"/>
    <w:multiLevelType w:val="multilevel"/>
    <w:tmpl w:val="509E4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4547D8A"/>
    <w:multiLevelType w:val="multilevel"/>
    <w:tmpl w:val="BEBCA9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66C6DA6"/>
    <w:multiLevelType w:val="multilevel"/>
    <w:tmpl w:val="8E6641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67277402">
    <w:abstractNumId w:val="1"/>
  </w:num>
  <w:num w:numId="2" w16cid:durableId="1372995185">
    <w:abstractNumId w:val="0"/>
  </w:num>
  <w:num w:numId="3" w16cid:durableId="743114188">
    <w:abstractNumId w:val="7"/>
  </w:num>
  <w:num w:numId="4" w16cid:durableId="25570396">
    <w:abstractNumId w:val="16"/>
  </w:num>
  <w:num w:numId="5" w16cid:durableId="1743913837">
    <w:abstractNumId w:val="11"/>
  </w:num>
  <w:num w:numId="6" w16cid:durableId="764693339">
    <w:abstractNumId w:val="9"/>
  </w:num>
  <w:num w:numId="7" w16cid:durableId="306403981">
    <w:abstractNumId w:val="13"/>
  </w:num>
  <w:num w:numId="8" w16cid:durableId="1023019994">
    <w:abstractNumId w:val="6"/>
  </w:num>
  <w:num w:numId="9" w16cid:durableId="329793064">
    <w:abstractNumId w:val="2"/>
  </w:num>
  <w:num w:numId="10" w16cid:durableId="1920753981">
    <w:abstractNumId w:val="14"/>
  </w:num>
  <w:num w:numId="11" w16cid:durableId="1066606269">
    <w:abstractNumId w:val="12"/>
  </w:num>
  <w:num w:numId="12" w16cid:durableId="918447051">
    <w:abstractNumId w:val="8"/>
  </w:num>
  <w:num w:numId="13" w16cid:durableId="787090422">
    <w:abstractNumId w:val="4"/>
  </w:num>
  <w:num w:numId="14" w16cid:durableId="1431896418">
    <w:abstractNumId w:val="5"/>
  </w:num>
  <w:num w:numId="15" w16cid:durableId="628127052">
    <w:abstractNumId w:val="15"/>
  </w:num>
  <w:num w:numId="16" w16cid:durableId="1126698859">
    <w:abstractNumId w:val="3"/>
  </w:num>
  <w:num w:numId="17" w16cid:durableId="4416112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4469"/>
    <w:rsid w:val="00061C21"/>
    <w:rsid w:val="000936D2"/>
    <w:rsid w:val="001E5A04"/>
    <w:rsid w:val="00236403"/>
    <w:rsid w:val="0024003D"/>
    <w:rsid w:val="00244469"/>
    <w:rsid w:val="00291292"/>
    <w:rsid w:val="002B4A04"/>
    <w:rsid w:val="004424E9"/>
    <w:rsid w:val="00501D02"/>
    <w:rsid w:val="007C5CF1"/>
    <w:rsid w:val="008D5EF4"/>
    <w:rsid w:val="00967FD1"/>
    <w:rsid w:val="009F19EB"/>
    <w:rsid w:val="00A85901"/>
    <w:rsid w:val="00AE390C"/>
    <w:rsid w:val="00AF152E"/>
    <w:rsid w:val="00C006C1"/>
    <w:rsid w:val="00C00B3F"/>
    <w:rsid w:val="00C93301"/>
    <w:rsid w:val="00C93923"/>
    <w:rsid w:val="00D130AE"/>
    <w:rsid w:val="00DA3049"/>
    <w:rsid w:val="00DB61CB"/>
    <w:rsid w:val="00DB66D2"/>
    <w:rsid w:val="00F151F1"/>
    <w:rsid w:val="00F23B1A"/>
    <w:rsid w:val="00F67B09"/>
    <w:rsid w:val="00F73BC6"/>
    <w:rsid w:val="00FC5A90"/>
    <w:rsid w:val="00FE70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D6BA6"/>
  <w15:docId w15:val="{F5A660B7-653A-42D0-BD4A-6F17F2685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pPr>
        <w:tabs>
          <w:tab w:val="right" w:pos="9016"/>
        </w:tabs>
        <w:spacing w:after="10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30AE"/>
  </w:style>
  <w:style w:type="paragraph" w:styleId="Titolo1">
    <w:name w:val="heading 1"/>
    <w:basedOn w:val="Normale"/>
    <w:next w:val="Normale"/>
    <w:uiPriority w:val="9"/>
    <w:qFormat/>
    <w:rsid w:val="00D130AE"/>
    <w:pPr>
      <w:keepNext/>
      <w:keepLines/>
      <w:spacing w:before="240" w:after="0"/>
      <w:outlineLvl w:val="0"/>
    </w:pPr>
    <w:rPr>
      <w:rFonts w:ascii="Helvetica Neue" w:eastAsia="Helvetica Neue" w:hAnsi="Helvetica Neue" w:cs="Helvetica Neue"/>
      <w:b/>
      <w:color w:val="2E75B5"/>
      <w:sz w:val="40"/>
      <w:szCs w:val="40"/>
    </w:rPr>
  </w:style>
  <w:style w:type="paragraph" w:styleId="Titolo2">
    <w:name w:val="heading 2"/>
    <w:basedOn w:val="Normale"/>
    <w:next w:val="Normale"/>
    <w:uiPriority w:val="9"/>
    <w:unhideWhenUsed/>
    <w:qFormat/>
    <w:rsid w:val="00D130AE"/>
    <w:pPr>
      <w:keepNext/>
      <w:keepLines/>
      <w:spacing w:before="40" w:after="0"/>
      <w:outlineLvl w:val="1"/>
    </w:pPr>
    <w:rPr>
      <w:rFonts w:ascii="Helvetica Neue" w:eastAsia="Helvetica Neue" w:hAnsi="Helvetica Neue" w:cs="Helvetica Neue"/>
      <w:color w:val="2E75B5"/>
      <w:sz w:val="36"/>
      <w:szCs w:val="36"/>
    </w:rPr>
  </w:style>
  <w:style w:type="paragraph" w:styleId="Titolo3">
    <w:name w:val="heading 3"/>
    <w:basedOn w:val="Normale"/>
    <w:next w:val="Normale"/>
    <w:uiPriority w:val="9"/>
    <w:semiHidden/>
    <w:unhideWhenUsed/>
    <w:qFormat/>
    <w:rsid w:val="00D130AE"/>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D130AE"/>
    <w:pPr>
      <w:keepNext/>
      <w:keepLines/>
      <w:spacing w:before="240" w:after="40"/>
      <w:outlineLvl w:val="3"/>
    </w:pPr>
    <w:rPr>
      <w:b/>
    </w:rPr>
  </w:style>
  <w:style w:type="paragraph" w:styleId="Titolo5">
    <w:name w:val="heading 5"/>
    <w:basedOn w:val="Normale"/>
    <w:next w:val="Normale"/>
    <w:uiPriority w:val="9"/>
    <w:semiHidden/>
    <w:unhideWhenUsed/>
    <w:qFormat/>
    <w:rsid w:val="00D130AE"/>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D130A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D130AE"/>
    <w:tblPr>
      <w:tblCellMar>
        <w:top w:w="0" w:type="dxa"/>
        <w:left w:w="0" w:type="dxa"/>
        <w:bottom w:w="0" w:type="dxa"/>
        <w:right w:w="0" w:type="dxa"/>
      </w:tblCellMar>
    </w:tblPr>
  </w:style>
  <w:style w:type="paragraph" w:styleId="Titolo">
    <w:name w:val="Title"/>
    <w:basedOn w:val="Normale"/>
    <w:next w:val="Normale"/>
    <w:uiPriority w:val="10"/>
    <w:qFormat/>
    <w:rsid w:val="00D130AE"/>
    <w:pPr>
      <w:spacing w:before="240" w:after="60" w:line="276" w:lineRule="auto"/>
    </w:pPr>
    <w:rPr>
      <w:rFonts w:ascii="Cambria" w:eastAsia="Cambria" w:hAnsi="Cambria" w:cs="Cambria"/>
      <w:b/>
      <w:color w:val="1F3864"/>
      <w:sz w:val="32"/>
      <w:szCs w:val="32"/>
    </w:rPr>
  </w:style>
  <w:style w:type="paragraph" w:styleId="Sottotitolo">
    <w:name w:val="Subtitle"/>
    <w:basedOn w:val="Normale"/>
    <w:next w:val="Normale"/>
    <w:uiPriority w:val="11"/>
    <w:qFormat/>
    <w:rsid w:val="00D130AE"/>
    <w:pPr>
      <w:keepNext/>
      <w:keepLines/>
      <w:spacing w:before="360" w:after="80"/>
    </w:pPr>
    <w:rPr>
      <w:rFonts w:ascii="Georgia" w:eastAsia="Georgia" w:hAnsi="Georgia" w:cs="Georgia"/>
      <w:i/>
      <w:color w:val="666666"/>
      <w:sz w:val="48"/>
      <w:szCs w:val="48"/>
    </w:rPr>
  </w:style>
  <w:style w:type="table" w:customStyle="1" w:styleId="a">
    <w:basedOn w:val="TableNormal"/>
    <w:rsid w:val="00D130AE"/>
    <w:tblPr>
      <w:tblStyleRowBandSize w:val="1"/>
      <w:tblStyleColBandSize w:val="1"/>
      <w:tblCellMar>
        <w:top w:w="100" w:type="dxa"/>
        <w:left w:w="100" w:type="dxa"/>
        <w:bottom w:w="100" w:type="dxa"/>
        <w:right w:w="100" w:type="dxa"/>
      </w:tblCellMar>
    </w:tblPr>
  </w:style>
  <w:style w:type="table" w:customStyle="1" w:styleId="a0">
    <w:basedOn w:val="TableNormal"/>
    <w:rsid w:val="00D130AE"/>
    <w:tblPr>
      <w:tblStyleRowBandSize w:val="1"/>
      <w:tblStyleColBandSize w:val="1"/>
      <w:tblCellMar>
        <w:top w:w="100" w:type="dxa"/>
        <w:left w:w="100" w:type="dxa"/>
        <w:bottom w:w="100" w:type="dxa"/>
        <w:right w:w="100" w:type="dxa"/>
      </w:tblCellMar>
    </w:tblPr>
  </w:style>
  <w:style w:type="table" w:customStyle="1" w:styleId="a1">
    <w:basedOn w:val="TableNormal"/>
    <w:rsid w:val="00D130AE"/>
    <w:tblPr>
      <w:tblStyleRowBandSize w:val="1"/>
      <w:tblStyleColBandSize w:val="1"/>
      <w:tblCellMar>
        <w:top w:w="100" w:type="dxa"/>
        <w:left w:w="100" w:type="dxa"/>
        <w:bottom w:w="100" w:type="dxa"/>
        <w:right w:w="100" w:type="dxa"/>
      </w:tblCellMar>
    </w:tblPr>
  </w:style>
  <w:style w:type="table" w:customStyle="1" w:styleId="a2">
    <w:basedOn w:val="TableNormal"/>
    <w:rsid w:val="00D130AE"/>
    <w:tblPr>
      <w:tblStyleRowBandSize w:val="1"/>
      <w:tblStyleColBandSize w:val="1"/>
      <w:tblCellMar>
        <w:top w:w="100" w:type="dxa"/>
        <w:left w:w="100" w:type="dxa"/>
        <w:bottom w:w="100" w:type="dxa"/>
        <w:right w:w="100" w:type="dxa"/>
      </w:tblCellMar>
    </w:tblPr>
  </w:style>
  <w:style w:type="table" w:customStyle="1" w:styleId="a3">
    <w:basedOn w:val="TableNormal"/>
    <w:rsid w:val="00D130AE"/>
    <w:tblPr>
      <w:tblStyleRowBandSize w:val="1"/>
      <w:tblStyleColBandSize w:val="1"/>
      <w:tblCellMar>
        <w:top w:w="100" w:type="dxa"/>
        <w:left w:w="100" w:type="dxa"/>
        <w:bottom w:w="100" w:type="dxa"/>
        <w:right w:w="100" w:type="dxa"/>
      </w:tblCellMar>
    </w:tblPr>
  </w:style>
  <w:style w:type="table" w:customStyle="1" w:styleId="a4">
    <w:basedOn w:val="TableNormal"/>
    <w:rsid w:val="00D130AE"/>
    <w:tblPr>
      <w:tblStyleRowBandSize w:val="1"/>
      <w:tblStyleColBandSize w:val="1"/>
      <w:tblCellMar>
        <w:top w:w="100" w:type="dxa"/>
        <w:left w:w="100" w:type="dxa"/>
        <w:bottom w:w="100" w:type="dxa"/>
        <w:right w:w="100" w:type="dxa"/>
      </w:tblCellMar>
    </w:tblPr>
  </w:style>
  <w:style w:type="table" w:customStyle="1" w:styleId="a5">
    <w:basedOn w:val="TableNormal"/>
    <w:rsid w:val="00D130AE"/>
    <w:tblPr>
      <w:tblStyleRowBandSize w:val="1"/>
      <w:tblStyleColBandSize w:val="1"/>
      <w:tblCellMar>
        <w:top w:w="100" w:type="dxa"/>
        <w:left w:w="100" w:type="dxa"/>
        <w:bottom w:w="100" w:type="dxa"/>
        <w:right w:w="100" w:type="dxa"/>
      </w:tblCellMar>
    </w:tblPr>
  </w:style>
  <w:style w:type="paragraph" w:styleId="Testocommento">
    <w:name w:val="annotation text"/>
    <w:basedOn w:val="Normale"/>
    <w:link w:val="TestocommentoCarattere"/>
    <w:uiPriority w:val="99"/>
    <w:semiHidden/>
    <w:unhideWhenUsed/>
    <w:rsid w:val="00D130A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130AE"/>
    <w:rPr>
      <w:sz w:val="20"/>
      <w:szCs w:val="20"/>
    </w:rPr>
  </w:style>
  <w:style w:type="character" w:styleId="Rimandocommento">
    <w:name w:val="annotation reference"/>
    <w:basedOn w:val="Carpredefinitoparagrafo"/>
    <w:uiPriority w:val="99"/>
    <w:semiHidden/>
    <w:unhideWhenUsed/>
    <w:rsid w:val="00D130AE"/>
    <w:rPr>
      <w:sz w:val="16"/>
      <w:szCs w:val="16"/>
    </w:rPr>
  </w:style>
  <w:style w:type="paragraph" w:styleId="Paragrafoelenco">
    <w:name w:val="List Paragraph"/>
    <w:basedOn w:val="Normale"/>
    <w:uiPriority w:val="34"/>
    <w:qFormat/>
    <w:rsid w:val="00F151F1"/>
    <w:pPr>
      <w:ind w:left="720"/>
      <w:contextualSpacing/>
    </w:pPr>
  </w:style>
  <w:style w:type="paragraph" w:styleId="Testofumetto">
    <w:name w:val="Balloon Text"/>
    <w:basedOn w:val="Normale"/>
    <w:link w:val="TestofumettoCarattere"/>
    <w:uiPriority w:val="99"/>
    <w:semiHidden/>
    <w:unhideWhenUsed/>
    <w:rsid w:val="00C00B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0B3F"/>
    <w:rPr>
      <w:rFonts w:ascii="Tahoma" w:hAnsi="Tahoma" w:cs="Tahoma"/>
      <w:sz w:val="16"/>
      <w:szCs w:val="16"/>
    </w:rPr>
  </w:style>
  <w:style w:type="paragraph" w:styleId="Intestazione">
    <w:name w:val="header"/>
    <w:basedOn w:val="Normale"/>
    <w:link w:val="IntestazioneCarattere"/>
    <w:uiPriority w:val="99"/>
    <w:semiHidden/>
    <w:unhideWhenUsed/>
    <w:rsid w:val="00C00B3F"/>
    <w:pPr>
      <w:tabs>
        <w:tab w:val="clear" w:pos="9016"/>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00B3F"/>
  </w:style>
  <w:style w:type="paragraph" w:styleId="Pidipagina">
    <w:name w:val="footer"/>
    <w:basedOn w:val="Normale"/>
    <w:link w:val="PidipaginaCarattere"/>
    <w:uiPriority w:val="99"/>
    <w:unhideWhenUsed/>
    <w:rsid w:val="00C00B3F"/>
    <w:pPr>
      <w:tabs>
        <w:tab w:val="clear" w:pos="9016"/>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0B3F"/>
  </w:style>
  <w:style w:type="character" w:styleId="Collegamentoipertestuale">
    <w:name w:val="Hyperlink"/>
    <w:basedOn w:val="Carpredefinitoparagrafo"/>
    <w:uiPriority w:val="99"/>
    <w:unhideWhenUsed/>
    <w:rsid w:val="00061C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rezione@unioncamerepuglia.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ere.unioncamerepuglia@legalmail.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1ACA30-27CB-4F18-AFF9-7A8B014EF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2132</Words>
  <Characters>12154</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Albertini Cosmo</dc:creator>
  <cp:lastModifiedBy>Albertini Cosmo</cp:lastModifiedBy>
  <cp:revision>9</cp:revision>
  <dcterms:created xsi:type="dcterms:W3CDTF">2022-07-21T10:42:00Z</dcterms:created>
  <dcterms:modified xsi:type="dcterms:W3CDTF">2022-07-22T06:40:00Z</dcterms:modified>
</cp:coreProperties>
</file>